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1753" w14:textId="77777777" w:rsidR="00971423" w:rsidRPr="00971423" w:rsidRDefault="00971423" w:rsidP="00971423">
      <w:pPr>
        <w:keepNext/>
        <w:keepLines/>
        <w:spacing w:after="200" w:line="240" w:lineRule="auto"/>
        <w:outlineLvl w:val="2"/>
        <w:rPr>
          <w:rFonts w:ascii="Calibri" w:eastAsia="SimSun" w:hAnsi="Calibri" w:cs="Times New Roman"/>
          <w:bCs/>
        </w:rPr>
      </w:pPr>
      <w:r>
        <w:rPr>
          <w:rFonts w:ascii="Calibri" w:eastAsia="SimSun" w:hAnsi="Calibri" w:cs="Times New Roman"/>
          <w:bCs/>
        </w:rPr>
        <w:t xml:space="preserve">Online Supplement </w:t>
      </w:r>
      <w:r w:rsidR="00092ACF">
        <w:rPr>
          <w:rFonts w:ascii="Calibri" w:eastAsia="SimSun" w:hAnsi="Calibri" w:cs="Times New Roman"/>
          <w:bCs/>
        </w:rPr>
        <w:t>3</w:t>
      </w:r>
      <w:r w:rsidRPr="00971423">
        <w:rPr>
          <w:rFonts w:ascii="Calibri" w:eastAsia="SimSun" w:hAnsi="Calibri" w:cs="Times New Roman"/>
          <w:bCs/>
        </w:rPr>
        <w:t xml:space="preserve">: Overall mean (standard deviation) percentage scores in each AGREE II domain and mean (1-7 scale/standard deviation) for each item.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125"/>
      </w:tblGrid>
      <w:tr w:rsidR="00971423" w:rsidRPr="00971423" w14:paraId="4F06095D" w14:textId="77777777" w:rsidTr="00344D84">
        <w:tc>
          <w:tcPr>
            <w:tcW w:w="6941" w:type="dxa"/>
            <w:tcBorders>
              <w:bottom w:val="single" w:sz="4" w:space="0" w:color="auto"/>
            </w:tcBorders>
          </w:tcPr>
          <w:p w14:paraId="2782A2E5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59AFF991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Mean (SD) </w:t>
            </w:r>
          </w:p>
        </w:tc>
      </w:tr>
      <w:tr w:rsidR="00971423" w:rsidRPr="00971423" w14:paraId="19EDEAC6" w14:textId="77777777" w:rsidTr="00344D84">
        <w:tc>
          <w:tcPr>
            <w:tcW w:w="6941" w:type="dxa"/>
            <w:tcBorders>
              <w:bottom w:val="nil"/>
            </w:tcBorders>
            <w:shd w:val="pct5" w:color="auto" w:fill="auto"/>
          </w:tcPr>
          <w:p w14:paraId="35A21EE2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Domain 1. Scope and Purpose (%)</w:t>
            </w:r>
          </w:p>
        </w:tc>
        <w:tc>
          <w:tcPr>
            <w:tcW w:w="1125" w:type="dxa"/>
            <w:tcBorders>
              <w:bottom w:val="nil"/>
            </w:tcBorders>
            <w:shd w:val="pct5" w:color="auto" w:fill="auto"/>
          </w:tcPr>
          <w:p w14:paraId="2787A5BC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73.7 (13.8)</w:t>
            </w:r>
          </w:p>
        </w:tc>
      </w:tr>
      <w:tr w:rsidR="00971423" w:rsidRPr="00971423" w14:paraId="768FB5D3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575480B9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1. The overall objective(s) of the guideline is (are) specifically described.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FDB2E65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5.6 (.84)</w:t>
            </w:r>
          </w:p>
        </w:tc>
      </w:tr>
      <w:tr w:rsidR="00971423" w:rsidRPr="00971423" w14:paraId="01B180ED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023F5764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2. The health question(s) covered by the guideline is (are) specifically described.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30854FE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5.3 (1.0)</w:t>
            </w:r>
          </w:p>
        </w:tc>
      </w:tr>
      <w:tr w:rsidR="00971423" w:rsidRPr="00971423" w14:paraId="14D5C080" w14:textId="77777777" w:rsidTr="00344D84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11ABB6C1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3. The population (patients, public, etc.) to whom the guideline is meant to apply is specifically described.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038EB581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5.4 (1.0)</w:t>
            </w:r>
          </w:p>
        </w:tc>
      </w:tr>
      <w:tr w:rsidR="00971423" w:rsidRPr="00971423" w14:paraId="452E2A5F" w14:textId="77777777" w:rsidTr="00344D84">
        <w:tc>
          <w:tcPr>
            <w:tcW w:w="6941" w:type="dxa"/>
            <w:tcBorders>
              <w:bottom w:val="nil"/>
            </w:tcBorders>
            <w:shd w:val="pct5" w:color="auto" w:fill="auto"/>
          </w:tcPr>
          <w:p w14:paraId="6746AF89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Domain 2. Stakeholder Involvement (%)</w:t>
            </w:r>
          </w:p>
        </w:tc>
        <w:tc>
          <w:tcPr>
            <w:tcW w:w="1125" w:type="dxa"/>
            <w:tcBorders>
              <w:bottom w:val="nil"/>
            </w:tcBorders>
            <w:shd w:val="pct5" w:color="auto" w:fill="auto"/>
          </w:tcPr>
          <w:p w14:paraId="1DC90E16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44.2 (17.0)</w:t>
            </w:r>
          </w:p>
        </w:tc>
      </w:tr>
      <w:tr w:rsidR="00971423" w:rsidRPr="00971423" w14:paraId="1AECCF85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171C6A30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   The guideline development group includes individuals from all relevant professional groups.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38226797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3.9 (1.3)</w:t>
            </w:r>
          </w:p>
        </w:tc>
      </w:tr>
      <w:tr w:rsidR="00971423" w:rsidRPr="00971423" w14:paraId="49BA0C0F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09E1D59F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5.   The views and preferences of the target population (patients, public, etc.) have been sought.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37CCDFFF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2.2 (1.3)</w:t>
            </w:r>
          </w:p>
        </w:tc>
      </w:tr>
      <w:tr w:rsidR="00971423" w:rsidRPr="00971423" w14:paraId="2511E8EA" w14:textId="77777777" w:rsidTr="00344D84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016D6DCD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6.   The target users of the guideline are clearly defined.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5E19F67C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4.9 (1.2)</w:t>
            </w:r>
          </w:p>
        </w:tc>
      </w:tr>
      <w:tr w:rsidR="00971423" w:rsidRPr="00971423" w14:paraId="34430924" w14:textId="77777777" w:rsidTr="00344D84">
        <w:tc>
          <w:tcPr>
            <w:tcW w:w="6941" w:type="dxa"/>
            <w:tcBorders>
              <w:bottom w:val="single" w:sz="4" w:space="0" w:color="auto"/>
            </w:tcBorders>
            <w:shd w:val="pct5" w:color="auto" w:fill="auto"/>
          </w:tcPr>
          <w:p w14:paraId="3B210D3C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Domain 3. Rigour of Development (%)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pct5" w:color="auto" w:fill="auto"/>
          </w:tcPr>
          <w:p w14:paraId="7E05816C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50.8 (22.0)</w:t>
            </w:r>
          </w:p>
        </w:tc>
      </w:tr>
      <w:tr w:rsidR="00971423" w:rsidRPr="00971423" w14:paraId="1AAC9AC2" w14:textId="77777777" w:rsidTr="00344D84">
        <w:tc>
          <w:tcPr>
            <w:tcW w:w="6941" w:type="dxa"/>
            <w:tcBorders>
              <w:bottom w:val="nil"/>
            </w:tcBorders>
          </w:tcPr>
          <w:p w14:paraId="0AC27C21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7.   Systematic methods were used to search for evidence.</w:t>
            </w:r>
          </w:p>
        </w:tc>
        <w:tc>
          <w:tcPr>
            <w:tcW w:w="1125" w:type="dxa"/>
            <w:tcBorders>
              <w:bottom w:val="nil"/>
            </w:tcBorders>
          </w:tcPr>
          <w:p w14:paraId="6220AD7E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4.9 (1.6)</w:t>
            </w:r>
          </w:p>
        </w:tc>
      </w:tr>
      <w:tr w:rsidR="00971423" w:rsidRPr="00971423" w14:paraId="177F7B4C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6AB9D21A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8.   The criteria for selecting the evidence are clearly described.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5BE102D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4.3 (1.8)</w:t>
            </w:r>
          </w:p>
        </w:tc>
      </w:tr>
      <w:tr w:rsidR="00971423" w:rsidRPr="00971423" w14:paraId="1A307C07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10A9CA49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9.   The strengths and limitations of the body of evidence are clearly described.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CC2046C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4.3 (1.6)</w:t>
            </w:r>
          </w:p>
        </w:tc>
      </w:tr>
      <w:tr w:rsidR="00971423" w:rsidRPr="00971423" w14:paraId="07532223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5112D562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10. The methods for formulating the recommendations are clearly described.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A90FD52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4.0 (1.5)</w:t>
            </w:r>
          </w:p>
        </w:tc>
      </w:tr>
      <w:tr w:rsidR="00971423" w:rsidRPr="00971423" w14:paraId="03EB2CF1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1B51490C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11. The health benefits, side effects, and risks have been considered in formulating the recommendations.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86C0AE8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4.2 (1.4)</w:t>
            </w:r>
          </w:p>
        </w:tc>
      </w:tr>
      <w:tr w:rsidR="00971423" w:rsidRPr="00971423" w14:paraId="351A8060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7027D80A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12. There is an explicit link between the recommendations and the supporting evidence.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4397E434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4.7 (1.4)</w:t>
            </w:r>
          </w:p>
        </w:tc>
      </w:tr>
      <w:tr w:rsidR="00971423" w:rsidRPr="00971423" w14:paraId="248CA3F0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54BBA26A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13. The guideline has been externally reviewed by experts prior to its publication.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3D52978C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2.8 (1.6)</w:t>
            </w:r>
          </w:p>
        </w:tc>
      </w:tr>
      <w:tr w:rsidR="00971423" w:rsidRPr="00971423" w14:paraId="24EC5244" w14:textId="77777777" w:rsidTr="00344D84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4279EC01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14. A procedure for updating the guideline is provided.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5A5FB695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3.2 (2.0)</w:t>
            </w:r>
          </w:p>
        </w:tc>
      </w:tr>
      <w:tr w:rsidR="00971423" w:rsidRPr="00971423" w14:paraId="7C96C879" w14:textId="77777777" w:rsidTr="00344D84">
        <w:tc>
          <w:tcPr>
            <w:tcW w:w="6941" w:type="dxa"/>
            <w:tcBorders>
              <w:bottom w:val="nil"/>
            </w:tcBorders>
            <w:shd w:val="pct5" w:color="auto" w:fill="auto"/>
          </w:tcPr>
          <w:p w14:paraId="191CAFE8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Domain 4. Clarity of Presentation (%)</w:t>
            </w:r>
          </w:p>
        </w:tc>
        <w:tc>
          <w:tcPr>
            <w:tcW w:w="1125" w:type="dxa"/>
            <w:tcBorders>
              <w:bottom w:val="nil"/>
            </w:tcBorders>
            <w:shd w:val="pct5" w:color="auto" w:fill="auto"/>
          </w:tcPr>
          <w:p w14:paraId="7C950968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59.3 (17.3)</w:t>
            </w:r>
          </w:p>
        </w:tc>
      </w:tr>
      <w:tr w:rsidR="00971423" w:rsidRPr="00971423" w14:paraId="3F49E04F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3F95C72A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15. The recommendations are specific and unambiguous.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0065DD0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4.5 (1.0)</w:t>
            </w:r>
          </w:p>
        </w:tc>
      </w:tr>
      <w:tr w:rsidR="00971423" w:rsidRPr="00971423" w14:paraId="1F8F6FDB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102F1856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16. The different options for management of the condition or health issue are clearly presented.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79C5425A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4.5 (1.1)</w:t>
            </w:r>
          </w:p>
        </w:tc>
      </w:tr>
      <w:tr w:rsidR="00971423" w:rsidRPr="00971423" w14:paraId="08B134ED" w14:textId="77777777" w:rsidTr="00344D84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5CC2F375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17. Key recommendations are easily identifiable.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3E02B39C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4.7 (1.3)</w:t>
            </w:r>
          </w:p>
        </w:tc>
      </w:tr>
      <w:tr w:rsidR="00971423" w:rsidRPr="00971423" w14:paraId="75B63917" w14:textId="77777777" w:rsidTr="00344D84">
        <w:tc>
          <w:tcPr>
            <w:tcW w:w="6941" w:type="dxa"/>
            <w:tcBorders>
              <w:bottom w:val="nil"/>
            </w:tcBorders>
            <w:shd w:val="pct5" w:color="auto" w:fill="auto"/>
          </w:tcPr>
          <w:p w14:paraId="114825FE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Domain 5. Applicability (%)</w:t>
            </w:r>
          </w:p>
        </w:tc>
        <w:tc>
          <w:tcPr>
            <w:tcW w:w="1125" w:type="dxa"/>
            <w:tcBorders>
              <w:bottom w:val="nil"/>
            </w:tcBorders>
            <w:shd w:val="pct5" w:color="auto" w:fill="auto"/>
          </w:tcPr>
          <w:p w14:paraId="17E6361A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27.6 (18.3)</w:t>
            </w:r>
          </w:p>
        </w:tc>
      </w:tr>
      <w:tr w:rsidR="00971423" w:rsidRPr="00971423" w14:paraId="31D0A3F6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6AB929A7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18. The guideline describes facilitators and barriers to its application.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C7FE713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2.6 (1.3)</w:t>
            </w:r>
          </w:p>
        </w:tc>
      </w:tr>
      <w:tr w:rsidR="00971423" w:rsidRPr="00971423" w14:paraId="47D4C124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2C2EE8F6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19. The guideline provides advice and/or tools on how the recommendations can be put into practice.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EAC01FB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3.4 (1.4)</w:t>
            </w:r>
          </w:p>
        </w:tc>
      </w:tr>
      <w:tr w:rsidR="00971423" w:rsidRPr="00971423" w14:paraId="4CCD1C9F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48025C71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20. The potential resource implications of applying the recommendations have been considered.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DA13724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2.5 (1.4)</w:t>
            </w:r>
          </w:p>
        </w:tc>
      </w:tr>
      <w:tr w:rsidR="00971423" w:rsidRPr="00971423" w14:paraId="6291760E" w14:textId="77777777" w:rsidTr="00344D84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73CFD09B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21. The guideline presents monitoring and/or auditing criteria.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0682CA24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2.1 (1.2)</w:t>
            </w:r>
          </w:p>
        </w:tc>
      </w:tr>
      <w:tr w:rsidR="00971423" w:rsidRPr="00971423" w14:paraId="4FEAC435" w14:textId="77777777" w:rsidTr="00344D84">
        <w:tc>
          <w:tcPr>
            <w:tcW w:w="6941" w:type="dxa"/>
            <w:tcBorders>
              <w:bottom w:val="nil"/>
            </w:tcBorders>
            <w:shd w:val="pct5" w:color="auto" w:fill="auto"/>
          </w:tcPr>
          <w:p w14:paraId="016AF305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Domain 6. Editorial Independence (%)</w:t>
            </w:r>
          </w:p>
        </w:tc>
        <w:tc>
          <w:tcPr>
            <w:tcW w:w="1125" w:type="dxa"/>
            <w:tcBorders>
              <w:bottom w:val="nil"/>
            </w:tcBorders>
            <w:shd w:val="pct5" w:color="auto" w:fill="auto"/>
          </w:tcPr>
          <w:p w14:paraId="7EF9CAEC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35.8 (27.3)</w:t>
            </w:r>
          </w:p>
        </w:tc>
      </w:tr>
      <w:tr w:rsidR="00971423" w:rsidRPr="00971423" w14:paraId="50E00A02" w14:textId="77777777" w:rsidTr="00344D84">
        <w:tc>
          <w:tcPr>
            <w:tcW w:w="6941" w:type="dxa"/>
            <w:tcBorders>
              <w:top w:val="nil"/>
              <w:bottom w:val="nil"/>
            </w:tcBorders>
          </w:tcPr>
          <w:p w14:paraId="7C761006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22. The views of the funding body have not influenced the content of the guideline.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851B029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3.2 (1.8)</w:t>
            </w:r>
          </w:p>
        </w:tc>
      </w:tr>
      <w:tr w:rsidR="00971423" w:rsidRPr="00971423" w14:paraId="2285CF15" w14:textId="77777777" w:rsidTr="00344D84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3DECC4E5" w14:textId="77777777" w:rsidR="00971423" w:rsidRPr="00971423" w:rsidRDefault="00971423" w:rsidP="00971423">
            <w:pPr>
              <w:ind w:left="170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23. Competing interests of guideline development group members have been recorded and addressed.</w:t>
            </w:r>
          </w:p>
        </w:tc>
        <w:tc>
          <w:tcPr>
            <w:tcW w:w="1125" w:type="dxa"/>
            <w:tcBorders>
              <w:top w:val="nil"/>
              <w:bottom w:val="single" w:sz="4" w:space="0" w:color="auto"/>
            </w:tcBorders>
          </w:tcPr>
          <w:p w14:paraId="3F4A5AAF" w14:textId="77777777" w:rsidR="00971423" w:rsidRPr="00971423" w:rsidRDefault="00971423" w:rsidP="00971423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971423">
              <w:rPr>
                <w:rFonts w:ascii="Calibri" w:eastAsia="Calibri" w:hAnsi="Calibri" w:cs="Arial"/>
                <w:sz w:val="18"/>
                <w:szCs w:val="18"/>
              </w:rPr>
              <w:t>3.1 (1.9)</w:t>
            </w:r>
          </w:p>
        </w:tc>
      </w:tr>
      <w:tr w:rsidR="00971423" w:rsidRPr="00971423" w14:paraId="5CD750D4" w14:textId="77777777" w:rsidTr="00344D84">
        <w:tc>
          <w:tcPr>
            <w:tcW w:w="6941" w:type="dxa"/>
            <w:shd w:val="pct5" w:color="auto" w:fill="auto"/>
          </w:tcPr>
          <w:p w14:paraId="02661480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Overall Score (%)</w:t>
            </w:r>
          </w:p>
        </w:tc>
        <w:tc>
          <w:tcPr>
            <w:tcW w:w="1125" w:type="dxa"/>
            <w:shd w:val="pct5" w:color="auto" w:fill="auto"/>
          </w:tcPr>
          <w:p w14:paraId="212D2B00" w14:textId="77777777" w:rsidR="00971423" w:rsidRPr="00971423" w:rsidRDefault="00971423" w:rsidP="00971423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971423">
              <w:rPr>
                <w:rFonts w:ascii="Calibri" w:eastAsia="Calibri" w:hAnsi="Calibri" w:cs="Arial"/>
                <w:b/>
                <w:sz w:val="20"/>
                <w:szCs w:val="20"/>
              </w:rPr>
              <w:t>45.1 (19.7)</w:t>
            </w:r>
          </w:p>
        </w:tc>
      </w:tr>
    </w:tbl>
    <w:p w14:paraId="4B44BDD7" w14:textId="77777777" w:rsidR="009F2015" w:rsidRDefault="009F2015"/>
    <w:sectPr w:rsidR="009F2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39"/>
    <w:rsid w:val="00001D24"/>
    <w:rsid w:val="00002551"/>
    <w:rsid w:val="00005550"/>
    <w:rsid w:val="00010DC9"/>
    <w:rsid w:val="00011559"/>
    <w:rsid w:val="00013A31"/>
    <w:rsid w:val="00014F63"/>
    <w:rsid w:val="00015A44"/>
    <w:rsid w:val="00016CDA"/>
    <w:rsid w:val="0002053E"/>
    <w:rsid w:val="000227ED"/>
    <w:rsid w:val="00022A2A"/>
    <w:rsid w:val="00023DA3"/>
    <w:rsid w:val="00024A28"/>
    <w:rsid w:val="00025B3C"/>
    <w:rsid w:val="00032D41"/>
    <w:rsid w:val="000338DB"/>
    <w:rsid w:val="000344EB"/>
    <w:rsid w:val="000346D6"/>
    <w:rsid w:val="00034942"/>
    <w:rsid w:val="00035234"/>
    <w:rsid w:val="000408E6"/>
    <w:rsid w:val="00041013"/>
    <w:rsid w:val="00044D42"/>
    <w:rsid w:val="00044E13"/>
    <w:rsid w:val="00045830"/>
    <w:rsid w:val="00052E75"/>
    <w:rsid w:val="00053A10"/>
    <w:rsid w:val="00054043"/>
    <w:rsid w:val="00055D0A"/>
    <w:rsid w:val="000562F6"/>
    <w:rsid w:val="000626F4"/>
    <w:rsid w:val="00062CBB"/>
    <w:rsid w:val="00066018"/>
    <w:rsid w:val="0006630F"/>
    <w:rsid w:val="0006764C"/>
    <w:rsid w:val="00072908"/>
    <w:rsid w:val="00072E91"/>
    <w:rsid w:val="0007305D"/>
    <w:rsid w:val="00074CB5"/>
    <w:rsid w:val="000761AF"/>
    <w:rsid w:val="00080BB4"/>
    <w:rsid w:val="00080EF2"/>
    <w:rsid w:val="000814B4"/>
    <w:rsid w:val="00084546"/>
    <w:rsid w:val="000845E3"/>
    <w:rsid w:val="000865F8"/>
    <w:rsid w:val="0008788B"/>
    <w:rsid w:val="00087F4E"/>
    <w:rsid w:val="00092ACF"/>
    <w:rsid w:val="0009599F"/>
    <w:rsid w:val="000A411C"/>
    <w:rsid w:val="000A42F4"/>
    <w:rsid w:val="000A43EB"/>
    <w:rsid w:val="000A4D8D"/>
    <w:rsid w:val="000A5BAD"/>
    <w:rsid w:val="000A6D46"/>
    <w:rsid w:val="000A7025"/>
    <w:rsid w:val="000A752A"/>
    <w:rsid w:val="000B0422"/>
    <w:rsid w:val="000B152B"/>
    <w:rsid w:val="000B3085"/>
    <w:rsid w:val="000B3D8E"/>
    <w:rsid w:val="000B43A6"/>
    <w:rsid w:val="000B73C1"/>
    <w:rsid w:val="000C1FA8"/>
    <w:rsid w:val="000C40AA"/>
    <w:rsid w:val="000D0DCD"/>
    <w:rsid w:val="000D2961"/>
    <w:rsid w:val="000D2D3C"/>
    <w:rsid w:val="000D4BAD"/>
    <w:rsid w:val="000D4F00"/>
    <w:rsid w:val="000D51FE"/>
    <w:rsid w:val="000E2D7D"/>
    <w:rsid w:val="000E3452"/>
    <w:rsid w:val="000E3A71"/>
    <w:rsid w:val="000E405E"/>
    <w:rsid w:val="000E4142"/>
    <w:rsid w:val="000E4C49"/>
    <w:rsid w:val="000E67F9"/>
    <w:rsid w:val="000E7E81"/>
    <w:rsid w:val="000F04F9"/>
    <w:rsid w:val="000F66EE"/>
    <w:rsid w:val="000F6CAE"/>
    <w:rsid w:val="000F7BDD"/>
    <w:rsid w:val="001008BB"/>
    <w:rsid w:val="00103101"/>
    <w:rsid w:val="001040AD"/>
    <w:rsid w:val="0010441A"/>
    <w:rsid w:val="0010450C"/>
    <w:rsid w:val="00105D41"/>
    <w:rsid w:val="001066A6"/>
    <w:rsid w:val="001146A3"/>
    <w:rsid w:val="00115407"/>
    <w:rsid w:val="00115A78"/>
    <w:rsid w:val="0011649B"/>
    <w:rsid w:val="00117BAF"/>
    <w:rsid w:val="0012008A"/>
    <w:rsid w:val="00126CA7"/>
    <w:rsid w:val="00127D90"/>
    <w:rsid w:val="00131B06"/>
    <w:rsid w:val="00132671"/>
    <w:rsid w:val="00132AF0"/>
    <w:rsid w:val="00135611"/>
    <w:rsid w:val="001358D8"/>
    <w:rsid w:val="001420EF"/>
    <w:rsid w:val="00145083"/>
    <w:rsid w:val="00145DF8"/>
    <w:rsid w:val="00146635"/>
    <w:rsid w:val="00155617"/>
    <w:rsid w:val="001629F3"/>
    <w:rsid w:val="001643B5"/>
    <w:rsid w:val="0016467E"/>
    <w:rsid w:val="00164BE9"/>
    <w:rsid w:val="00164EC8"/>
    <w:rsid w:val="00173BC3"/>
    <w:rsid w:val="00180BC9"/>
    <w:rsid w:val="0018145E"/>
    <w:rsid w:val="00182190"/>
    <w:rsid w:val="0018288F"/>
    <w:rsid w:val="00184FAA"/>
    <w:rsid w:val="00187C2C"/>
    <w:rsid w:val="00190053"/>
    <w:rsid w:val="00190967"/>
    <w:rsid w:val="001911FA"/>
    <w:rsid w:val="00191EB9"/>
    <w:rsid w:val="001936FA"/>
    <w:rsid w:val="0019509F"/>
    <w:rsid w:val="00196376"/>
    <w:rsid w:val="001970AF"/>
    <w:rsid w:val="001A142C"/>
    <w:rsid w:val="001A5DBE"/>
    <w:rsid w:val="001A6913"/>
    <w:rsid w:val="001A7AD7"/>
    <w:rsid w:val="001B35CD"/>
    <w:rsid w:val="001B4457"/>
    <w:rsid w:val="001B5927"/>
    <w:rsid w:val="001C1DCB"/>
    <w:rsid w:val="001C2756"/>
    <w:rsid w:val="001C3C26"/>
    <w:rsid w:val="001C48B2"/>
    <w:rsid w:val="001C7509"/>
    <w:rsid w:val="001D13E0"/>
    <w:rsid w:val="001D24C4"/>
    <w:rsid w:val="001D34A3"/>
    <w:rsid w:val="001D4DCD"/>
    <w:rsid w:val="001D5FCC"/>
    <w:rsid w:val="001D65BE"/>
    <w:rsid w:val="001E34C0"/>
    <w:rsid w:val="001E633A"/>
    <w:rsid w:val="001F2311"/>
    <w:rsid w:val="001F6A1E"/>
    <w:rsid w:val="002001A4"/>
    <w:rsid w:val="00200BD3"/>
    <w:rsid w:val="002027AE"/>
    <w:rsid w:val="002036AC"/>
    <w:rsid w:val="00204247"/>
    <w:rsid w:val="0020593E"/>
    <w:rsid w:val="00206A73"/>
    <w:rsid w:val="0020719D"/>
    <w:rsid w:val="00210474"/>
    <w:rsid w:val="00214617"/>
    <w:rsid w:val="00214C77"/>
    <w:rsid w:val="0021604B"/>
    <w:rsid w:val="002169F0"/>
    <w:rsid w:val="00220C99"/>
    <w:rsid w:val="00220F26"/>
    <w:rsid w:val="00223DB5"/>
    <w:rsid w:val="002241FC"/>
    <w:rsid w:val="00224FC1"/>
    <w:rsid w:val="00232485"/>
    <w:rsid w:val="00233AB5"/>
    <w:rsid w:val="00236191"/>
    <w:rsid w:val="00240191"/>
    <w:rsid w:val="00241B27"/>
    <w:rsid w:val="00242257"/>
    <w:rsid w:val="00242433"/>
    <w:rsid w:val="00247876"/>
    <w:rsid w:val="002523CC"/>
    <w:rsid w:val="00253358"/>
    <w:rsid w:val="00253608"/>
    <w:rsid w:val="0025363E"/>
    <w:rsid w:val="00254771"/>
    <w:rsid w:val="002562C8"/>
    <w:rsid w:val="00256F58"/>
    <w:rsid w:val="002570C7"/>
    <w:rsid w:val="00260703"/>
    <w:rsid w:val="002620F1"/>
    <w:rsid w:val="0026322D"/>
    <w:rsid w:val="00263ECE"/>
    <w:rsid w:val="002645A3"/>
    <w:rsid w:val="00264F04"/>
    <w:rsid w:val="0026617F"/>
    <w:rsid w:val="00266666"/>
    <w:rsid w:val="00270F3C"/>
    <w:rsid w:val="00273043"/>
    <w:rsid w:val="002739FB"/>
    <w:rsid w:val="0027580C"/>
    <w:rsid w:val="00276180"/>
    <w:rsid w:val="00276669"/>
    <w:rsid w:val="0027776A"/>
    <w:rsid w:val="00281DB7"/>
    <w:rsid w:val="00283CEB"/>
    <w:rsid w:val="00286281"/>
    <w:rsid w:val="002923B1"/>
    <w:rsid w:val="0029258E"/>
    <w:rsid w:val="00294992"/>
    <w:rsid w:val="00294DFE"/>
    <w:rsid w:val="00295920"/>
    <w:rsid w:val="002A3898"/>
    <w:rsid w:val="002A5815"/>
    <w:rsid w:val="002A6AB1"/>
    <w:rsid w:val="002B297A"/>
    <w:rsid w:val="002B6AFA"/>
    <w:rsid w:val="002C0605"/>
    <w:rsid w:val="002C4205"/>
    <w:rsid w:val="002C5F04"/>
    <w:rsid w:val="002D203A"/>
    <w:rsid w:val="002D59C5"/>
    <w:rsid w:val="002D6CAB"/>
    <w:rsid w:val="002D7589"/>
    <w:rsid w:val="002D7A21"/>
    <w:rsid w:val="002E073A"/>
    <w:rsid w:val="002E2127"/>
    <w:rsid w:val="002E43AA"/>
    <w:rsid w:val="002E6E43"/>
    <w:rsid w:val="002F5AB8"/>
    <w:rsid w:val="002F6703"/>
    <w:rsid w:val="003022AE"/>
    <w:rsid w:val="00303DAC"/>
    <w:rsid w:val="003040EB"/>
    <w:rsid w:val="00306510"/>
    <w:rsid w:val="00310150"/>
    <w:rsid w:val="003105D3"/>
    <w:rsid w:val="00311C6D"/>
    <w:rsid w:val="0031327B"/>
    <w:rsid w:val="00314FFE"/>
    <w:rsid w:val="00315B29"/>
    <w:rsid w:val="00316CFB"/>
    <w:rsid w:val="00317826"/>
    <w:rsid w:val="00321250"/>
    <w:rsid w:val="0032128F"/>
    <w:rsid w:val="00322A17"/>
    <w:rsid w:val="00324B2E"/>
    <w:rsid w:val="003314A9"/>
    <w:rsid w:val="00332115"/>
    <w:rsid w:val="00334329"/>
    <w:rsid w:val="00337840"/>
    <w:rsid w:val="003418CB"/>
    <w:rsid w:val="00344476"/>
    <w:rsid w:val="00344E59"/>
    <w:rsid w:val="003457CC"/>
    <w:rsid w:val="00347CCB"/>
    <w:rsid w:val="00350EF5"/>
    <w:rsid w:val="0035317A"/>
    <w:rsid w:val="00353204"/>
    <w:rsid w:val="00353D6E"/>
    <w:rsid w:val="00354154"/>
    <w:rsid w:val="00355915"/>
    <w:rsid w:val="003562D5"/>
    <w:rsid w:val="00356782"/>
    <w:rsid w:val="00357FDC"/>
    <w:rsid w:val="00361F95"/>
    <w:rsid w:val="00366D6D"/>
    <w:rsid w:val="00372CD3"/>
    <w:rsid w:val="0037444A"/>
    <w:rsid w:val="0037545B"/>
    <w:rsid w:val="00375A85"/>
    <w:rsid w:val="00376BAB"/>
    <w:rsid w:val="003802A1"/>
    <w:rsid w:val="00383B43"/>
    <w:rsid w:val="00390371"/>
    <w:rsid w:val="00393748"/>
    <w:rsid w:val="0039437E"/>
    <w:rsid w:val="00395C2C"/>
    <w:rsid w:val="00396001"/>
    <w:rsid w:val="003970A8"/>
    <w:rsid w:val="003A1A1E"/>
    <w:rsid w:val="003A2BF3"/>
    <w:rsid w:val="003A7C2C"/>
    <w:rsid w:val="003A7DD3"/>
    <w:rsid w:val="003B1495"/>
    <w:rsid w:val="003B180B"/>
    <w:rsid w:val="003B60AE"/>
    <w:rsid w:val="003B6818"/>
    <w:rsid w:val="003B6E04"/>
    <w:rsid w:val="003C1E0E"/>
    <w:rsid w:val="003C23A8"/>
    <w:rsid w:val="003C6533"/>
    <w:rsid w:val="003C7CC2"/>
    <w:rsid w:val="003C7E9E"/>
    <w:rsid w:val="003D0FAC"/>
    <w:rsid w:val="003D1D69"/>
    <w:rsid w:val="003D254E"/>
    <w:rsid w:val="003D2F71"/>
    <w:rsid w:val="003D318C"/>
    <w:rsid w:val="003D46C1"/>
    <w:rsid w:val="003D4F2B"/>
    <w:rsid w:val="003D60CD"/>
    <w:rsid w:val="003D7972"/>
    <w:rsid w:val="003D7E89"/>
    <w:rsid w:val="003E178C"/>
    <w:rsid w:val="003E28E1"/>
    <w:rsid w:val="003E37B8"/>
    <w:rsid w:val="003E3C97"/>
    <w:rsid w:val="003E3EBD"/>
    <w:rsid w:val="003E4633"/>
    <w:rsid w:val="003E5C45"/>
    <w:rsid w:val="003E7B92"/>
    <w:rsid w:val="003F05D7"/>
    <w:rsid w:val="003F10E8"/>
    <w:rsid w:val="003F18FE"/>
    <w:rsid w:val="003F3500"/>
    <w:rsid w:val="003F72DB"/>
    <w:rsid w:val="00400869"/>
    <w:rsid w:val="0040198B"/>
    <w:rsid w:val="004029FA"/>
    <w:rsid w:val="004051D5"/>
    <w:rsid w:val="004106C4"/>
    <w:rsid w:val="00412EC2"/>
    <w:rsid w:val="00413AC5"/>
    <w:rsid w:val="00415543"/>
    <w:rsid w:val="00416B60"/>
    <w:rsid w:val="00421362"/>
    <w:rsid w:val="00424108"/>
    <w:rsid w:val="004257A1"/>
    <w:rsid w:val="00427FFA"/>
    <w:rsid w:val="00435717"/>
    <w:rsid w:val="00436A98"/>
    <w:rsid w:val="00436EF7"/>
    <w:rsid w:val="004425D2"/>
    <w:rsid w:val="00442A0A"/>
    <w:rsid w:val="00445476"/>
    <w:rsid w:val="004458C2"/>
    <w:rsid w:val="0044738E"/>
    <w:rsid w:val="00451970"/>
    <w:rsid w:val="00452FB5"/>
    <w:rsid w:val="00455335"/>
    <w:rsid w:val="004601F2"/>
    <w:rsid w:val="00461479"/>
    <w:rsid w:val="00461E10"/>
    <w:rsid w:val="004655EA"/>
    <w:rsid w:val="00470F91"/>
    <w:rsid w:val="00471987"/>
    <w:rsid w:val="00481D4C"/>
    <w:rsid w:val="004843B2"/>
    <w:rsid w:val="00484DA0"/>
    <w:rsid w:val="004929DA"/>
    <w:rsid w:val="00493AF2"/>
    <w:rsid w:val="004A03A1"/>
    <w:rsid w:val="004A08FF"/>
    <w:rsid w:val="004A09F8"/>
    <w:rsid w:val="004B1CE4"/>
    <w:rsid w:val="004B1E35"/>
    <w:rsid w:val="004B5345"/>
    <w:rsid w:val="004B5F90"/>
    <w:rsid w:val="004B69EC"/>
    <w:rsid w:val="004B6A07"/>
    <w:rsid w:val="004C037F"/>
    <w:rsid w:val="004C06E1"/>
    <w:rsid w:val="004C5186"/>
    <w:rsid w:val="004C5CB8"/>
    <w:rsid w:val="004C6CC8"/>
    <w:rsid w:val="004C7987"/>
    <w:rsid w:val="004E08BE"/>
    <w:rsid w:val="004E198A"/>
    <w:rsid w:val="004E2B45"/>
    <w:rsid w:val="004E440E"/>
    <w:rsid w:val="004E48BB"/>
    <w:rsid w:val="004E536D"/>
    <w:rsid w:val="004E6A3F"/>
    <w:rsid w:val="004F1249"/>
    <w:rsid w:val="004F19CB"/>
    <w:rsid w:val="004F3D36"/>
    <w:rsid w:val="004F3F9A"/>
    <w:rsid w:val="004F457B"/>
    <w:rsid w:val="004F7B4B"/>
    <w:rsid w:val="005079A6"/>
    <w:rsid w:val="00507C4B"/>
    <w:rsid w:val="00510A74"/>
    <w:rsid w:val="005120C3"/>
    <w:rsid w:val="00512C13"/>
    <w:rsid w:val="00520553"/>
    <w:rsid w:val="00527505"/>
    <w:rsid w:val="005338EA"/>
    <w:rsid w:val="00537231"/>
    <w:rsid w:val="0054198D"/>
    <w:rsid w:val="00542002"/>
    <w:rsid w:val="00543A56"/>
    <w:rsid w:val="00550C39"/>
    <w:rsid w:val="00551007"/>
    <w:rsid w:val="00552C24"/>
    <w:rsid w:val="005579F1"/>
    <w:rsid w:val="00557CCF"/>
    <w:rsid w:val="00557E31"/>
    <w:rsid w:val="00557FA3"/>
    <w:rsid w:val="005631EF"/>
    <w:rsid w:val="00563C8F"/>
    <w:rsid w:val="00566684"/>
    <w:rsid w:val="005676F0"/>
    <w:rsid w:val="00575763"/>
    <w:rsid w:val="005763BA"/>
    <w:rsid w:val="00582014"/>
    <w:rsid w:val="0058213B"/>
    <w:rsid w:val="00582BC8"/>
    <w:rsid w:val="00583492"/>
    <w:rsid w:val="00587258"/>
    <w:rsid w:val="005930C5"/>
    <w:rsid w:val="005930E6"/>
    <w:rsid w:val="00594565"/>
    <w:rsid w:val="005948B8"/>
    <w:rsid w:val="00596852"/>
    <w:rsid w:val="00597EB0"/>
    <w:rsid w:val="005A03EE"/>
    <w:rsid w:val="005A3180"/>
    <w:rsid w:val="005A3F40"/>
    <w:rsid w:val="005A4012"/>
    <w:rsid w:val="005A4AB1"/>
    <w:rsid w:val="005A7D18"/>
    <w:rsid w:val="005B1974"/>
    <w:rsid w:val="005B1F9B"/>
    <w:rsid w:val="005B2431"/>
    <w:rsid w:val="005B3C4C"/>
    <w:rsid w:val="005B6C65"/>
    <w:rsid w:val="005B7B4F"/>
    <w:rsid w:val="005C1DBE"/>
    <w:rsid w:val="005C2CFE"/>
    <w:rsid w:val="005C6761"/>
    <w:rsid w:val="005D01A9"/>
    <w:rsid w:val="005D0354"/>
    <w:rsid w:val="005D0D58"/>
    <w:rsid w:val="005D1434"/>
    <w:rsid w:val="005D1C7F"/>
    <w:rsid w:val="005D2A44"/>
    <w:rsid w:val="005D45E5"/>
    <w:rsid w:val="005D7069"/>
    <w:rsid w:val="005E14E7"/>
    <w:rsid w:val="005E16FA"/>
    <w:rsid w:val="005E42F6"/>
    <w:rsid w:val="005E4CE0"/>
    <w:rsid w:val="005E4F3B"/>
    <w:rsid w:val="005E5AB3"/>
    <w:rsid w:val="005E5F49"/>
    <w:rsid w:val="005E7D99"/>
    <w:rsid w:val="005E7E65"/>
    <w:rsid w:val="005F0799"/>
    <w:rsid w:val="005F2344"/>
    <w:rsid w:val="005F3EFA"/>
    <w:rsid w:val="005F5942"/>
    <w:rsid w:val="005F7535"/>
    <w:rsid w:val="006009AD"/>
    <w:rsid w:val="00600E9D"/>
    <w:rsid w:val="0060333D"/>
    <w:rsid w:val="006033F0"/>
    <w:rsid w:val="006040C1"/>
    <w:rsid w:val="0060411E"/>
    <w:rsid w:val="00604781"/>
    <w:rsid w:val="00604871"/>
    <w:rsid w:val="0060691B"/>
    <w:rsid w:val="006078A6"/>
    <w:rsid w:val="006114BF"/>
    <w:rsid w:val="006140F9"/>
    <w:rsid w:val="0061616C"/>
    <w:rsid w:val="00616ED1"/>
    <w:rsid w:val="00620E7E"/>
    <w:rsid w:val="00634113"/>
    <w:rsid w:val="0063500D"/>
    <w:rsid w:val="00636041"/>
    <w:rsid w:val="006361A6"/>
    <w:rsid w:val="00636DC6"/>
    <w:rsid w:val="0063751A"/>
    <w:rsid w:val="00645EF9"/>
    <w:rsid w:val="0064749E"/>
    <w:rsid w:val="0065633E"/>
    <w:rsid w:val="00657123"/>
    <w:rsid w:val="00661E61"/>
    <w:rsid w:val="00665403"/>
    <w:rsid w:val="006659A1"/>
    <w:rsid w:val="00674638"/>
    <w:rsid w:val="00675B88"/>
    <w:rsid w:val="006760CD"/>
    <w:rsid w:val="00680FCB"/>
    <w:rsid w:val="006853A3"/>
    <w:rsid w:val="00685609"/>
    <w:rsid w:val="006865C8"/>
    <w:rsid w:val="006903E3"/>
    <w:rsid w:val="00692756"/>
    <w:rsid w:val="006963BB"/>
    <w:rsid w:val="006969FD"/>
    <w:rsid w:val="006A0E54"/>
    <w:rsid w:val="006A20FA"/>
    <w:rsid w:val="006A2686"/>
    <w:rsid w:val="006A41BA"/>
    <w:rsid w:val="006A44C7"/>
    <w:rsid w:val="006A4624"/>
    <w:rsid w:val="006A62C5"/>
    <w:rsid w:val="006A6E28"/>
    <w:rsid w:val="006A7B75"/>
    <w:rsid w:val="006B0A4C"/>
    <w:rsid w:val="006B0E1F"/>
    <w:rsid w:val="006B1830"/>
    <w:rsid w:val="006B1A47"/>
    <w:rsid w:val="006B2E07"/>
    <w:rsid w:val="006B4CE1"/>
    <w:rsid w:val="006C5545"/>
    <w:rsid w:val="006C7926"/>
    <w:rsid w:val="006D204D"/>
    <w:rsid w:val="006D2587"/>
    <w:rsid w:val="006D76FE"/>
    <w:rsid w:val="006E2A21"/>
    <w:rsid w:val="006E2F51"/>
    <w:rsid w:val="006E47A8"/>
    <w:rsid w:val="006F03ED"/>
    <w:rsid w:val="006F07C4"/>
    <w:rsid w:val="006F12A7"/>
    <w:rsid w:val="006F37AC"/>
    <w:rsid w:val="006F577C"/>
    <w:rsid w:val="006F6ACD"/>
    <w:rsid w:val="006F6BC9"/>
    <w:rsid w:val="006F7947"/>
    <w:rsid w:val="00702347"/>
    <w:rsid w:val="007046CE"/>
    <w:rsid w:val="00704D8A"/>
    <w:rsid w:val="00705999"/>
    <w:rsid w:val="00705DE9"/>
    <w:rsid w:val="00706C80"/>
    <w:rsid w:val="00711379"/>
    <w:rsid w:val="007142A1"/>
    <w:rsid w:val="007148C7"/>
    <w:rsid w:val="00715949"/>
    <w:rsid w:val="00721533"/>
    <w:rsid w:val="007238E9"/>
    <w:rsid w:val="007272B3"/>
    <w:rsid w:val="007303B4"/>
    <w:rsid w:val="00731B17"/>
    <w:rsid w:val="00731FBA"/>
    <w:rsid w:val="0073420D"/>
    <w:rsid w:val="00734274"/>
    <w:rsid w:val="00734D09"/>
    <w:rsid w:val="00743E18"/>
    <w:rsid w:val="007454E5"/>
    <w:rsid w:val="0074565B"/>
    <w:rsid w:val="00745C1F"/>
    <w:rsid w:val="007469CE"/>
    <w:rsid w:val="00747542"/>
    <w:rsid w:val="00747B84"/>
    <w:rsid w:val="007510B1"/>
    <w:rsid w:val="0075195F"/>
    <w:rsid w:val="00751EF4"/>
    <w:rsid w:val="00751F0D"/>
    <w:rsid w:val="00752FC8"/>
    <w:rsid w:val="0075706E"/>
    <w:rsid w:val="00762EC8"/>
    <w:rsid w:val="00763C88"/>
    <w:rsid w:val="00764739"/>
    <w:rsid w:val="007676A2"/>
    <w:rsid w:val="007678DD"/>
    <w:rsid w:val="0077022B"/>
    <w:rsid w:val="00770A9E"/>
    <w:rsid w:val="00772C81"/>
    <w:rsid w:val="00776501"/>
    <w:rsid w:val="0078003D"/>
    <w:rsid w:val="00781523"/>
    <w:rsid w:val="00781539"/>
    <w:rsid w:val="00782391"/>
    <w:rsid w:val="00782C2F"/>
    <w:rsid w:val="007839D6"/>
    <w:rsid w:val="00787085"/>
    <w:rsid w:val="00794ABB"/>
    <w:rsid w:val="00795892"/>
    <w:rsid w:val="00796FC2"/>
    <w:rsid w:val="007976D5"/>
    <w:rsid w:val="007A0058"/>
    <w:rsid w:val="007A06F1"/>
    <w:rsid w:val="007A1497"/>
    <w:rsid w:val="007A253A"/>
    <w:rsid w:val="007A376D"/>
    <w:rsid w:val="007A3F91"/>
    <w:rsid w:val="007A4E34"/>
    <w:rsid w:val="007A5FCC"/>
    <w:rsid w:val="007A7DF9"/>
    <w:rsid w:val="007B1AE1"/>
    <w:rsid w:val="007B1D39"/>
    <w:rsid w:val="007B328A"/>
    <w:rsid w:val="007B4061"/>
    <w:rsid w:val="007B51CA"/>
    <w:rsid w:val="007B6A81"/>
    <w:rsid w:val="007C0F72"/>
    <w:rsid w:val="007C17F9"/>
    <w:rsid w:val="007C2239"/>
    <w:rsid w:val="007C3856"/>
    <w:rsid w:val="007C4954"/>
    <w:rsid w:val="007C65E3"/>
    <w:rsid w:val="007C7356"/>
    <w:rsid w:val="007D236E"/>
    <w:rsid w:val="007D2A4D"/>
    <w:rsid w:val="007E1EA3"/>
    <w:rsid w:val="007E3D97"/>
    <w:rsid w:val="007E452E"/>
    <w:rsid w:val="007E484F"/>
    <w:rsid w:val="007E7144"/>
    <w:rsid w:val="007F1813"/>
    <w:rsid w:val="007F54F9"/>
    <w:rsid w:val="007F6C16"/>
    <w:rsid w:val="008007A2"/>
    <w:rsid w:val="00800F67"/>
    <w:rsid w:val="00801F7C"/>
    <w:rsid w:val="00802CFA"/>
    <w:rsid w:val="00804A5C"/>
    <w:rsid w:val="008127A2"/>
    <w:rsid w:val="00812C0E"/>
    <w:rsid w:val="00815E17"/>
    <w:rsid w:val="00817A4C"/>
    <w:rsid w:val="008210A4"/>
    <w:rsid w:val="00822879"/>
    <w:rsid w:val="00827D75"/>
    <w:rsid w:val="00832AEC"/>
    <w:rsid w:val="008337B8"/>
    <w:rsid w:val="008345DC"/>
    <w:rsid w:val="0083499E"/>
    <w:rsid w:val="0083644E"/>
    <w:rsid w:val="00836877"/>
    <w:rsid w:val="00840F3E"/>
    <w:rsid w:val="008420AD"/>
    <w:rsid w:val="008435F0"/>
    <w:rsid w:val="00856AD8"/>
    <w:rsid w:val="00856BF4"/>
    <w:rsid w:val="00857D4E"/>
    <w:rsid w:val="00864A94"/>
    <w:rsid w:val="00865A31"/>
    <w:rsid w:val="00865E52"/>
    <w:rsid w:val="00866D69"/>
    <w:rsid w:val="00866E7E"/>
    <w:rsid w:val="00876CCA"/>
    <w:rsid w:val="00877C90"/>
    <w:rsid w:val="00881243"/>
    <w:rsid w:val="00885011"/>
    <w:rsid w:val="008859AC"/>
    <w:rsid w:val="0088633D"/>
    <w:rsid w:val="00891E5F"/>
    <w:rsid w:val="008930C3"/>
    <w:rsid w:val="0089323F"/>
    <w:rsid w:val="008941D8"/>
    <w:rsid w:val="0089581F"/>
    <w:rsid w:val="00895C9E"/>
    <w:rsid w:val="008A0756"/>
    <w:rsid w:val="008A24D4"/>
    <w:rsid w:val="008A25A7"/>
    <w:rsid w:val="008A59A2"/>
    <w:rsid w:val="008A783A"/>
    <w:rsid w:val="008B0505"/>
    <w:rsid w:val="008B33C1"/>
    <w:rsid w:val="008B3B75"/>
    <w:rsid w:val="008B4F3D"/>
    <w:rsid w:val="008B7D3C"/>
    <w:rsid w:val="008C2573"/>
    <w:rsid w:val="008C2C4A"/>
    <w:rsid w:val="008C3A69"/>
    <w:rsid w:val="008C3C5E"/>
    <w:rsid w:val="008C3E1C"/>
    <w:rsid w:val="008C4024"/>
    <w:rsid w:val="008C5937"/>
    <w:rsid w:val="008C6F0C"/>
    <w:rsid w:val="008D1228"/>
    <w:rsid w:val="008D16D1"/>
    <w:rsid w:val="008D2E9B"/>
    <w:rsid w:val="008D47B9"/>
    <w:rsid w:val="008D66A7"/>
    <w:rsid w:val="008E3556"/>
    <w:rsid w:val="008E3D34"/>
    <w:rsid w:val="008E491B"/>
    <w:rsid w:val="008E5285"/>
    <w:rsid w:val="008E60CB"/>
    <w:rsid w:val="008E74DB"/>
    <w:rsid w:val="008F3D29"/>
    <w:rsid w:val="008F589C"/>
    <w:rsid w:val="009036CD"/>
    <w:rsid w:val="0090400E"/>
    <w:rsid w:val="00911539"/>
    <w:rsid w:val="009116CF"/>
    <w:rsid w:val="009139EE"/>
    <w:rsid w:val="00915338"/>
    <w:rsid w:val="00915C52"/>
    <w:rsid w:val="009178A3"/>
    <w:rsid w:val="00920B13"/>
    <w:rsid w:val="0092256B"/>
    <w:rsid w:val="009234F5"/>
    <w:rsid w:val="009264A5"/>
    <w:rsid w:val="0092680A"/>
    <w:rsid w:val="009303C8"/>
    <w:rsid w:val="009310A7"/>
    <w:rsid w:val="009310C9"/>
    <w:rsid w:val="00931E4A"/>
    <w:rsid w:val="0093221C"/>
    <w:rsid w:val="00933186"/>
    <w:rsid w:val="00933477"/>
    <w:rsid w:val="009347C0"/>
    <w:rsid w:val="00934BEF"/>
    <w:rsid w:val="00941170"/>
    <w:rsid w:val="00945BCB"/>
    <w:rsid w:val="00946693"/>
    <w:rsid w:val="00946C87"/>
    <w:rsid w:val="00946E4F"/>
    <w:rsid w:val="0095135C"/>
    <w:rsid w:val="0095196D"/>
    <w:rsid w:val="00951988"/>
    <w:rsid w:val="00954C74"/>
    <w:rsid w:val="009562DF"/>
    <w:rsid w:val="009579A0"/>
    <w:rsid w:val="0096055E"/>
    <w:rsid w:val="00960EF2"/>
    <w:rsid w:val="00961D72"/>
    <w:rsid w:val="00962FC9"/>
    <w:rsid w:val="00964941"/>
    <w:rsid w:val="00966F54"/>
    <w:rsid w:val="00970C3F"/>
    <w:rsid w:val="00971423"/>
    <w:rsid w:val="00974EBB"/>
    <w:rsid w:val="009773B6"/>
    <w:rsid w:val="0097777A"/>
    <w:rsid w:val="00982E15"/>
    <w:rsid w:val="009844AE"/>
    <w:rsid w:val="00987B46"/>
    <w:rsid w:val="009902BB"/>
    <w:rsid w:val="00990FA4"/>
    <w:rsid w:val="00992991"/>
    <w:rsid w:val="00993333"/>
    <w:rsid w:val="00993590"/>
    <w:rsid w:val="00995F61"/>
    <w:rsid w:val="00997D1D"/>
    <w:rsid w:val="009A05CD"/>
    <w:rsid w:val="009A060C"/>
    <w:rsid w:val="009A0948"/>
    <w:rsid w:val="009A1041"/>
    <w:rsid w:val="009A4289"/>
    <w:rsid w:val="009A5E00"/>
    <w:rsid w:val="009B1195"/>
    <w:rsid w:val="009B31BE"/>
    <w:rsid w:val="009B699F"/>
    <w:rsid w:val="009B76F6"/>
    <w:rsid w:val="009C1021"/>
    <w:rsid w:val="009C3396"/>
    <w:rsid w:val="009C3F35"/>
    <w:rsid w:val="009C5EF2"/>
    <w:rsid w:val="009C708D"/>
    <w:rsid w:val="009D3BEE"/>
    <w:rsid w:val="009D3CA2"/>
    <w:rsid w:val="009D7DF5"/>
    <w:rsid w:val="009E0086"/>
    <w:rsid w:val="009E12A9"/>
    <w:rsid w:val="009E1B88"/>
    <w:rsid w:val="009E482E"/>
    <w:rsid w:val="009E5809"/>
    <w:rsid w:val="009F0857"/>
    <w:rsid w:val="009F1646"/>
    <w:rsid w:val="009F2015"/>
    <w:rsid w:val="009F3377"/>
    <w:rsid w:val="009F3C68"/>
    <w:rsid w:val="009F5AA7"/>
    <w:rsid w:val="009F6379"/>
    <w:rsid w:val="00A0177F"/>
    <w:rsid w:val="00A026C5"/>
    <w:rsid w:val="00A02EE7"/>
    <w:rsid w:val="00A03A5F"/>
    <w:rsid w:val="00A03D5A"/>
    <w:rsid w:val="00A0511F"/>
    <w:rsid w:val="00A0535C"/>
    <w:rsid w:val="00A06770"/>
    <w:rsid w:val="00A073A7"/>
    <w:rsid w:val="00A074A2"/>
    <w:rsid w:val="00A103B2"/>
    <w:rsid w:val="00A12ECE"/>
    <w:rsid w:val="00A14135"/>
    <w:rsid w:val="00A17145"/>
    <w:rsid w:val="00A203C6"/>
    <w:rsid w:val="00A20A79"/>
    <w:rsid w:val="00A22378"/>
    <w:rsid w:val="00A2305F"/>
    <w:rsid w:val="00A230E4"/>
    <w:rsid w:val="00A246F4"/>
    <w:rsid w:val="00A2703F"/>
    <w:rsid w:val="00A30610"/>
    <w:rsid w:val="00A316EB"/>
    <w:rsid w:val="00A419B5"/>
    <w:rsid w:val="00A427FA"/>
    <w:rsid w:val="00A45067"/>
    <w:rsid w:val="00A45779"/>
    <w:rsid w:val="00A51253"/>
    <w:rsid w:val="00A516D9"/>
    <w:rsid w:val="00A52DA9"/>
    <w:rsid w:val="00A55019"/>
    <w:rsid w:val="00A56BD0"/>
    <w:rsid w:val="00A606CE"/>
    <w:rsid w:val="00A60FF1"/>
    <w:rsid w:val="00A6249D"/>
    <w:rsid w:val="00A64049"/>
    <w:rsid w:val="00A6536B"/>
    <w:rsid w:val="00A66745"/>
    <w:rsid w:val="00A67C36"/>
    <w:rsid w:val="00A718A6"/>
    <w:rsid w:val="00A71CC1"/>
    <w:rsid w:val="00A723B2"/>
    <w:rsid w:val="00A731A5"/>
    <w:rsid w:val="00A753A2"/>
    <w:rsid w:val="00A80F6D"/>
    <w:rsid w:val="00A81CC5"/>
    <w:rsid w:val="00A82092"/>
    <w:rsid w:val="00A8321C"/>
    <w:rsid w:val="00A847F3"/>
    <w:rsid w:val="00A87B3F"/>
    <w:rsid w:val="00A87F0B"/>
    <w:rsid w:val="00A87F37"/>
    <w:rsid w:val="00A90390"/>
    <w:rsid w:val="00A91D69"/>
    <w:rsid w:val="00A94C70"/>
    <w:rsid w:val="00A94D57"/>
    <w:rsid w:val="00A95E3F"/>
    <w:rsid w:val="00A96930"/>
    <w:rsid w:val="00A97972"/>
    <w:rsid w:val="00A97B4E"/>
    <w:rsid w:val="00A97F88"/>
    <w:rsid w:val="00AA1E57"/>
    <w:rsid w:val="00AA1F3D"/>
    <w:rsid w:val="00AB0ACE"/>
    <w:rsid w:val="00AB1393"/>
    <w:rsid w:val="00AB166C"/>
    <w:rsid w:val="00AB250E"/>
    <w:rsid w:val="00AB2C65"/>
    <w:rsid w:val="00AB4D0A"/>
    <w:rsid w:val="00AB5F38"/>
    <w:rsid w:val="00AB65F8"/>
    <w:rsid w:val="00AC0059"/>
    <w:rsid w:val="00AC1339"/>
    <w:rsid w:val="00AC4836"/>
    <w:rsid w:val="00AC68C0"/>
    <w:rsid w:val="00AD06BD"/>
    <w:rsid w:val="00AD25A4"/>
    <w:rsid w:val="00AD3357"/>
    <w:rsid w:val="00AD67BC"/>
    <w:rsid w:val="00AD70A1"/>
    <w:rsid w:val="00AE1A15"/>
    <w:rsid w:val="00AE405B"/>
    <w:rsid w:val="00AE63A9"/>
    <w:rsid w:val="00AF196F"/>
    <w:rsid w:val="00AF1A34"/>
    <w:rsid w:val="00AF38A0"/>
    <w:rsid w:val="00AF511A"/>
    <w:rsid w:val="00B01CB2"/>
    <w:rsid w:val="00B0495F"/>
    <w:rsid w:val="00B057BD"/>
    <w:rsid w:val="00B11391"/>
    <w:rsid w:val="00B118E3"/>
    <w:rsid w:val="00B12699"/>
    <w:rsid w:val="00B14BD3"/>
    <w:rsid w:val="00B1731B"/>
    <w:rsid w:val="00B20FCD"/>
    <w:rsid w:val="00B21EDB"/>
    <w:rsid w:val="00B224E5"/>
    <w:rsid w:val="00B227FD"/>
    <w:rsid w:val="00B25631"/>
    <w:rsid w:val="00B26B64"/>
    <w:rsid w:val="00B26CBE"/>
    <w:rsid w:val="00B326EF"/>
    <w:rsid w:val="00B3337C"/>
    <w:rsid w:val="00B36BF7"/>
    <w:rsid w:val="00B37F2B"/>
    <w:rsid w:val="00B40CF7"/>
    <w:rsid w:val="00B4263D"/>
    <w:rsid w:val="00B42F89"/>
    <w:rsid w:val="00B44080"/>
    <w:rsid w:val="00B5092A"/>
    <w:rsid w:val="00B612F2"/>
    <w:rsid w:val="00B62D06"/>
    <w:rsid w:val="00B630FA"/>
    <w:rsid w:val="00B65C9B"/>
    <w:rsid w:val="00B65F0C"/>
    <w:rsid w:val="00B66704"/>
    <w:rsid w:val="00B66FE5"/>
    <w:rsid w:val="00B67D61"/>
    <w:rsid w:val="00B7073A"/>
    <w:rsid w:val="00B7670F"/>
    <w:rsid w:val="00B7736C"/>
    <w:rsid w:val="00B77CDB"/>
    <w:rsid w:val="00B83F90"/>
    <w:rsid w:val="00B8521D"/>
    <w:rsid w:val="00B85AC6"/>
    <w:rsid w:val="00B91469"/>
    <w:rsid w:val="00B92958"/>
    <w:rsid w:val="00B93861"/>
    <w:rsid w:val="00B95DF1"/>
    <w:rsid w:val="00B96D3E"/>
    <w:rsid w:val="00BA2985"/>
    <w:rsid w:val="00BA3B5F"/>
    <w:rsid w:val="00BA3DBE"/>
    <w:rsid w:val="00BA5E8D"/>
    <w:rsid w:val="00BA6147"/>
    <w:rsid w:val="00BB053B"/>
    <w:rsid w:val="00BB175C"/>
    <w:rsid w:val="00BB20A2"/>
    <w:rsid w:val="00BB5AA2"/>
    <w:rsid w:val="00BC0319"/>
    <w:rsid w:val="00BC08DB"/>
    <w:rsid w:val="00BC325B"/>
    <w:rsid w:val="00BC3538"/>
    <w:rsid w:val="00BC6F3C"/>
    <w:rsid w:val="00BC6FE5"/>
    <w:rsid w:val="00BC7340"/>
    <w:rsid w:val="00BD0447"/>
    <w:rsid w:val="00BD420D"/>
    <w:rsid w:val="00BD70CF"/>
    <w:rsid w:val="00BE02F5"/>
    <w:rsid w:val="00BE2D83"/>
    <w:rsid w:val="00BE3860"/>
    <w:rsid w:val="00BE5667"/>
    <w:rsid w:val="00BE5C32"/>
    <w:rsid w:val="00BF04A1"/>
    <w:rsid w:val="00BF1203"/>
    <w:rsid w:val="00BF4ACB"/>
    <w:rsid w:val="00BF6489"/>
    <w:rsid w:val="00C05E29"/>
    <w:rsid w:val="00C11478"/>
    <w:rsid w:val="00C11A37"/>
    <w:rsid w:val="00C13078"/>
    <w:rsid w:val="00C14D93"/>
    <w:rsid w:val="00C216F6"/>
    <w:rsid w:val="00C24777"/>
    <w:rsid w:val="00C24F18"/>
    <w:rsid w:val="00C30853"/>
    <w:rsid w:val="00C30CDD"/>
    <w:rsid w:val="00C348CD"/>
    <w:rsid w:val="00C4321D"/>
    <w:rsid w:val="00C44665"/>
    <w:rsid w:val="00C46265"/>
    <w:rsid w:val="00C47896"/>
    <w:rsid w:val="00C47ED8"/>
    <w:rsid w:val="00C50850"/>
    <w:rsid w:val="00C521C8"/>
    <w:rsid w:val="00C537A1"/>
    <w:rsid w:val="00C53B8B"/>
    <w:rsid w:val="00C5535D"/>
    <w:rsid w:val="00C55F29"/>
    <w:rsid w:val="00C573E3"/>
    <w:rsid w:val="00C619DD"/>
    <w:rsid w:val="00C62FC0"/>
    <w:rsid w:val="00C649AB"/>
    <w:rsid w:val="00C654E2"/>
    <w:rsid w:val="00C65A18"/>
    <w:rsid w:val="00C6630C"/>
    <w:rsid w:val="00C66B84"/>
    <w:rsid w:val="00C66B8C"/>
    <w:rsid w:val="00C704D3"/>
    <w:rsid w:val="00C714F4"/>
    <w:rsid w:val="00C71DAC"/>
    <w:rsid w:val="00C72043"/>
    <w:rsid w:val="00C800A9"/>
    <w:rsid w:val="00C81EEE"/>
    <w:rsid w:val="00C82F84"/>
    <w:rsid w:val="00C851C2"/>
    <w:rsid w:val="00C90A86"/>
    <w:rsid w:val="00C93712"/>
    <w:rsid w:val="00C94C4A"/>
    <w:rsid w:val="00C95D76"/>
    <w:rsid w:val="00C96BC2"/>
    <w:rsid w:val="00C9766A"/>
    <w:rsid w:val="00CA0F10"/>
    <w:rsid w:val="00CA697D"/>
    <w:rsid w:val="00CB1FFA"/>
    <w:rsid w:val="00CB24BA"/>
    <w:rsid w:val="00CB447E"/>
    <w:rsid w:val="00CB4AEB"/>
    <w:rsid w:val="00CC189D"/>
    <w:rsid w:val="00CC1A1D"/>
    <w:rsid w:val="00CC1B5A"/>
    <w:rsid w:val="00CC2833"/>
    <w:rsid w:val="00CC4B92"/>
    <w:rsid w:val="00CC5119"/>
    <w:rsid w:val="00CC64F3"/>
    <w:rsid w:val="00CC74F1"/>
    <w:rsid w:val="00CC7F1C"/>
    <w:rsid w:val="00CD0DC1"/>
    <w:rsid w:val="00CD1F58"/>
    <w:rsid w:val="00CD3793"/>
    <w:rsid w:val="00CD4BB7"/>
    <w:rsid w:val="00CD53B6"/>
    <w:rsid w:val="00CD621B"/>
    <w:rsid w:val="00CE3646"/>
    <w:rsid w:val="00CE7B4C"/>
    <w:rsid w:val="00CF13E7"/>
    <w:rsid w:val="00CF5357"/>
    <w:rsid w:val="00CF5B2F"/>
    <w:rsid w:val="00D061BA"/>
    <w:rsid w:val="00D069E5"/>
    <w:rsid w:val="00D10CF7"/>
    <w:rsid w:val="00D11A28"/>
    <w:rsid w:val="00D132A2"/>
    <w:rsid w:val="00D14B1C"/>
    <w:rsid w:val="00D15CCB"/>
    <w:rsid w:val="00D20DBA"/>
    <w:rsid w:val="00D21BE5"/>
    <w:rsid w:val="00D23AB1"/>
    <w:rsid w:val="00D23D9B"/>
    <w:rsid w:val="00D2595B"/>
    <w:rsid w:val="00D270B9"/>
    <w:rsid w:val="00D277C5"/>
    <w:rsid w:val="00D3040D"/>
    <w:rsid w:val="00D3056F"/>
    <w:rsid w:val="00D32A3C"/>
    <w:rsid w:val="00D3758E"/>
    <w:rsid w:val="00D37C86"/>
    <w:rsid w:val="00D42758"/>
    <w:rsid w:val="00D443B2"/>
    <w:rsid w:val="00D47BB0"/>
    <w:rsid w:val="00D5643E"/>
    <w:rsid w:val="00D56510"/>
    <w:rsid w:val="00D57F22"/>
    <w:rsid w:val="00D622A2"/>
    <w:rsid w:val="00D622EF"/>
    <w:rsid w:val="00D63253"/>
    <w:rsid w:val="00D66F31"/>
    <w:rsid w:val="00D679AD"/>
    <w:rsid w:val="00D67C80"/>
    <w:rsid w:val="00D7138D"/>
    <w:rsid w:val="00D720A3"/>
    <w:rsid w:val="00D735EB"/>
    <w:rsid w:val="00D73AA5"/>
    <w:rsid w:val="00D740B1"/>
    <w:rsid w:val="00D7587F"/>
    <w:rsid w:val="00D75B4D"/>
    <w:rsid w:val="00D81419"/>
    <w:rsid w:val="00D82438"/>
    <w:rsid w:val="00D8645B"/>
    <w:rsid w:val="00D870A5"/>
    <w:rsid w:val="00D87AD3"/>
    <w:rsid w:val="00D90FA8"/>
    <w:rsid w:val="00D916A9"/>
    <w:rsid w:val="00D93762"/>
    <w:rsid w:val="00D97105"/>
    <w:rsid w:val="00D97F0C"/>
    <w:rsid w:val="00DA00DE"/>
    <w:rsid w:val="00DA15B6"/>
    <w:rsid w:val="00DA6518"/>
    <w:rsid w:val="00DA6CA9"/>
    <w:rsid w:val="00DA7F56"/>
    <w:rsid w:val="00DB1F16"/>
    <w:rsid w:val="00DB312F"/>
    <w:rsid w:val="00DB33AD"/>
    <w:rsid w:val="00DB45B0"/>
    <w:rsid w:val="00DB4DF6"/>
    <w:rsid w:val="00DB6CBA"/>
    <w:rsid w:val="00DC03E8"/>
    <w:rsid w:val="00DC06A8"/>
    <w:rsid w:val="00DC2284"/>
    <w:rsid w:val="00DC2C2B"/>
    <w:rsid w:val="00DC3AB1"/>
    <w:rsid w:val="00DC4750"/>
    <w:rsid w:val="00DD1AF2"/>
    <w:rsid w:val="00DD1DCD"/>
    <w:rsid w:val="00DD2F99"/>
    <w:rsid w:val="00DD7F22"/>
    <w:rsid w:val="00DE3E6A"/>
    <w:rsid w:val="00DE46DA"/>
    <w:rsid w:val="00DE5ECB"/>
    <w:rsid w:val="00DE6A88"/>
    <w:rsid w:val="00DE7038"/>
    <w:rsid w:val="00DE7263"/>
    <w:rsid w:val="00DF2F52"/>
    <w:rsid w:val="00DF3405"/>
    <w:rsid w:val="00DF3E3C"/>
    <w:rsid w:val="00DF404C"/>
    <w:rsid w:val="00DF60F2"/>
    <w:rsid w:val="00DF6977"/>
    <w:rsid w:val="00E018C0"/>
    <w:rsid w:val="00E019A7"/>
    <w:rsid w:val="00E06382"/>
    <w:rsid w:val="00E07571"/>
    <w:rsid w:val="00E1027D"/>
    <w:rsid w:val="00E11C7F"/>
    <w:rsid w:val="00E11D04"/>
    <w:rsid w:val="00E13386"/>
    <w:rsid w:val="00E13CF8"/>
    <w:rsid w:val="00E145CD"/>
    <w:rsid w:val="00E14965"/>
    <w:rsid w:val="00E15A53"/>
    <w:rsid w:val="00E15CAD"/>
    <w:rsid w:val="00E23819"/>
    <w:rsid w:val="00E246B4"/>
    <w:rsid w:val="00E26105"/>
    <w:rsid w:val="00E31EA8"/>
    <w:rsid w:val="00E34298"/>
    <w:rsid w:val="00E3534A"/>
    <w:rsid w:val="00E3551B"/>
    <w:rsid w:val="00E3641C"/>
    <w:rsid w:val="00E45BED"/>
    <w:rsid w:val="00E551A9"/>
    <w:rsid w:val="00E579AA"/>
    <w:rsid w:val="00E60509"/>
    <w:rsid w:val="00E614F4"/>
    <w:rsid w:val="00E64642"/>
    <w:rsid w:val="00E65038"/>
    <w:rsid w:val="00E65165"/>
    <w:rsid w:val="00E70704"/>
    <w:rsid w:val="00E74FAA"/>
    <w:rsid w:val="00E7595B"/>
    <w:rsid w:val="00E76318"/>
    <w:rsid w:val="00E839D1"/>
    <w:rsid w:val="00E845F0"/>
    <w:rsid w:val="00E84824"/>
    <w:rsid w:val="00E84BC1"/>
    <w:rsid w:val="00E8556F"/>
    <w:rsid w:val="00E8604B"/>
    <w:rsid w:val="00E86392"/>
    <w:rsid w:val="00E90770"/>
    <w:rsid w:val="00E918C2"/>
    <w:rsid w:val="00E934E1"/>
    <w:rsid w:val="00E9417E"/>
    <w:rsid w:val="00E96D19"/>
    <w:rsid w:val="00E96ED1"/>
    <w:rsid w:val="00E96FEC"/>
    <w:rsid w:val="00E97FAC"/>
    <w:rsid w:val="00EA0692"/>
    <w:rsid w:val="00EA0F66"/>
    <w:rsid w:val="00EA1905"/>
    <w:rsid w:val="00EA2CDF"/>
    <w:rsid w:val="00EA353B"/>
    <w:rsid w:val="00EA4230"/>
    <w:rsid w:val="00EB5ED1"/>
    <w:rsid w:val="00EB6FA8"/>
    <w:rsid w:val="00EC3E1B"/>
    <w:rsid w:val="00EC5869"/>
    <w:rsid w:val="00EC5EAD"/>
    <w:rsid w:val="00EC67CB"/>
    <w:rsid w:val="00EC74AE"/>
    <w:rsid w:val="00EC7BCA"/>
    <w:rsid w:val="00ED0B61"/>
    <w:rsid w:val="00ED3243"/>
    <w:rsid w:val="00ED3D67"/>
    <w:rsid w:val="00EE117A"/>
    <w:rsid w:val="00EE1C27"/>
    <w:rsid w:val="00EE2C44"/>
    <w:rsid w:val="00EE308D"/>
    <w:rsid w:val="00EE44D8"/>
    <w:rsid w:val="00EE453B"/>
    <w:rsid w:val="00EE74EF"/>
    <w:rsid w:val="00EE7848"/>
    <w:rsid w:val="00EF2619"/>
    <w:rsid w:val="00EF321C"/>
    <w:rsid w:val="00EF40F9"/>
    <w:rsid w:val="00EF5118"/>
    <w:rsid w:val="00F004B2"/>
    <w:rsid w:val="00F01248"/>
    <w:rsid w:val="00F0130C"/>
    <w:rsid w:val="00F0234C"/>
    <w:rsid w:val="00F02B1D"/>
    <w:rsid w:val="00F111F9"/>
    <w:rsid w:val="00F116A9"/>
    <w:rsid w:val="00F136A4"/>
    <w:rsid w:val="00F14125"/>
    <w:rsid w:val="00F14811"/>
    <w:rsid w:val="00F21D44"/>
    <w:rsid w:val="00F221DF"/>
    <w:rsid w:val="00F24073"/>
    <w:rsid w:val="00F31AF5"/>
    <w:rsid w:val="00F34082"/>
    <w:rsid w:val="00F344BE"/>
    <w:rsid w:val="00F34C1C"/>
    <w:rsid w:val="00F367AC"/>
    <w:rsid w:val="00F36E51"/>
    <w:rsid w:val="00F376B4"/>
    <w:rsid w:val="00F37F32"/>
    <w:rsid w:val="00F412A0"/>
    <w:rsid w:val="00F44726"/>
    <w:rsid w:val="00F4524E"/>
    <w:rsid w:val="00F4661B"/>
    <w:rsid w:val="00F53229"/>
    <w:rsid w:val="00F5370E"/>
    <w:rsid w:val="00F53968"/>
    <w:rsid w:val="00F552DF"/>
    <w:rsid w:val="00F56CC2"/>
    <w:rsid w:val="00F63500"/>
    <w:rsid w:val="00F63938"/>
    <w:rsid w:val="00F707FC"/>
    <w:rsid w:val="00F72D7C"/>
    <w:rsid w:val="00F7469B"/>
    <w:rsid w:val="00F759DF"/>
    <w:rsid w:val="00F76339"/>
    <w:rsid w:val="00F769E6"/>
    <w:rsid w:val="00F80C3D"/>
    <w:rsid w:val="00F83A82"/>
    <w:rsid w:val="00F84370"/>
    <w:rsid w:val="00F84BE9"/>
    <w:rsid w:val="00F8790F"/>
    <w:rsid w:val="00F87DD6"/>
    <w:rsid w:val="00F90110"/>
    <w:rsid w:val="00F9465C"/>
    <w:rsid w:val="00F972E9"/>
    <w:rsid w:val="00FA2281"/>
    <w:rsid w:val="00FA3B2C"/>
    <w:rsid w:val="00FA5284"/>
    <w:rsid w:val="00FA619C"/>
    <w:rsid w:val="00FA6474"/>
    <w:rsid w:val="00FA7E60"/>
    <w:rsid w:val="00FB14CF"/>
    <w:rsid w:val="00FB2D80"/>
    <w:rsid w:val="00FB4F7C"/>
    <w:rsid w:val="00FB57A9"/>
    <w:rsid w:val="00FB60FC"/>
    <w:rsid w:val="00FC26DE"/>
    <w:rsid w:val="00FC6D77"/>
    <w:rsid w:val="00FC713D"/>
    <w:rsid w:val="00FD09D5"/>
    <w:rsid w:val="00FD0AEF"/>
    <w:rsid w:val="00FD1E55"/>
    <w:rsid w:val="00FD2FED"/>
    <w:rsid w:val="00FD3E5A"/>
    <w:rsid w:val="00FD5F71"/>
    <w:rsid w:val="00FD6A94"/>
    <w:rsid w:val="00FE1C7E"/>
    <w:rsid w:val="00FE3164"/>
    <w:rsid w:val="00FE597F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3FF6"/>
  <w15:chartTrackingRefBased/>
  <w15:docId w15:val="{7C59EC45-1375-48E5-99E2-FD137D9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1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23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23"/>
    <w:rPr>
      <w:sz w:val="20"/>
      <w:szCs w:val="20"/>
    </w:rPr>
  </w:style>
  <w:style w:type="table" w:styleId="TableGrid">
    <w:name w:val="Table Grid"/>
    <w:basedOn w:val="TableNormal"/>
    <w:uiPriority w:val="39"/>
    <w:rsid w:val="0097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Lin</dc:creator>
  <cp:keywords/>
  <dc:description/>
  <cp:lastModifiedBy>Frank M Painter</cp:lastModifiedBy>
  <cp:revision>2</cp:revision>
  <dcterms:created xsi:type="dcterms:W3CDTF">2022-09-18T23:57:00Z</dcterms:created>
  <dcterms:modified xsi:type="dcterms:W3CDTF">2022-09-18T23:57:00Z</dcterms:modified>
</cp:coreProperties>
</file>