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935C" w14:textId="59747070" w:rsidR="00FD27C4" w:rsidRPr="00F760AC" w:rsidRDefault="00FD27C4" w:rsidP="00FD27C4">
      <w:pPr>
        <w:pStyle w:val="Caption"/>
        <w:keepNext/>
        <w:keepLines/>
        <w:spacing w:after="100" w:afterAutospacing="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S3 Table</w:t>
      </w:r>
      <w:r w:rsidRPr="00F760AC">
        <w:rPr>
          <w:color w:val="000000" w:themeColor="text1"/>
          <w:sz w:val="22"/>
          <w:szCs w:val="22"/>
        </w:rPr>
        <w:t>: Variables controlled for in propensity score matching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393"/>
      </w:tblGrid>
      <w:tr w:rsidR="00FD27C4" w:rsidRPr="002A5DBF" w14:paraId="02C0CA62" w14:textId="77777777" w:rsidTr="0057403D">
        <w:trPr>
          <w:trHeight w:val="237"/>
        </w:trPr>
        <w:tc>
          <w:tcPr>
            <w:tcW w:w="2430" w:type="dxa"/>
          </w:tcPr>
          <w:p w14:paraId="66CAFC9F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b/>
                <w:bCs/>
                <w:szCs w:val="20"/>
              </w:rPr>
            </w:pPr>
            <w:r w:rsidRPr="002A5DBF">
              <w:rPr>
                <w:b/>
                <w:bCs/>
                <w:szCs w:val="20"/>
              </w:rPr>
              <w:t>Variable/Code</w:t>
            </w:r>
          </w:p>
        </w:tc>
        <w:tc>
          <w:tcPr>
            <w:tcW w:w="6393" w:type="dxa"/>
          </w:tcPr>
          <w:p w14:paraId="144A558D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b/>
                <w:bCs/>
                <w:szCs w:val="20"/>
              </w:rPr>
            </w:pPr>
            <w:r w:rsidRPr="002A5DBF">
              <w:rPr>
                <w:b/>
                <w:bCs/>
                <w:szCs w:val="20"/>
              </w:rPr>
              <w:t>Description</w:t>
            </w:r>
          </w:p>
        </w:tc>
      </w:tr>
      <w:tr w:rsidR="00FD27C4" w:rsidRPr="002A5DBF" w14:paraId="26B42F11" w14:textId="77777777" w:rsidTr="0057403D">
        <w:trPr>
          <w:trHeight w:val="237"/>
        </w:trPr>
        <w:tc>
          <w:tcPr>
            <w:tcW w:w="2430" w:type="dxa"/>
          </w:tcPr>
          <w:p w14:paraId="3920C202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>Demographics</w:t>
            </w:r>
          </w:p>
        </w:tc>
        <w:tc>
          <w:tcPr>
            <w:tcW w:w="6393" w:type="dxa"/>
          </w:tcPr>
          <w:p w14:paraId="38BF873E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>Patient age, sex, race, and ethnicity</w:t>
            </w:r>
          </w:p>
        </w:tc>
      </w:tr>
      <w:tr w:rsidR="00FD27C4" w:rsidRPr="002A5DBF" w14:paraId="2E8EBE55" w14:textId="77777777" w:rsidTr="0057403D">
        <w:trPr>
          <w:trHeight w:val="237"/>
        </w:trPr>
        <w:tc>
          <w:tcPr>
            <w:tcW w:w="8823" w:type="dxa"/>
            <w:gridSpan w:val="2"/>
          </w:tcPr>
          <w:p w14:paraId="697E54F9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>Diagnoses (ICD-10)</w:t>
            </w:r>
          </w:p>
        </w:tc>
      </w:tr>
      <w:tr w:rsidR="00FD27C4" w:rsidRPr="002A5DBF" w14:paraId="31910E7A" w14:textId="77777777" w:rsidTr="0057403D">
        <w:trPr>
          <w:trHeight w:val="260"/>
        </w:trPr>
        <w:tc>
          <w:tcPr>
            <w:tcW w:w="2430" w:type="dxa"/>
          </w:tcPr>
          <w:p w14:paraId="35288F9B" w14:textId="77777777" w:rsidR="00FD27C4" w:rsidRPr="002A5DBF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E08-E13</w:t>
            </w:r>
          </w:p>
        </w:tc>
        <w:tc>
          <w:tcPr>
            <w:tcW w:w="6393" w:type="dxa"/>
          </w:tcPr>
          <w:p w14:paraId="701A0725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Diabetes mellitus</w:t>
            </w:r>
          </w:p>
        </w:tc>
      </w:tr>
      <w:tr w:rsidR="00FD27C4" w:rsidRPr="002A5DBF" w14:paraId="02C14282" w14:textId="77777777" w:rsidTr="0057403D">
        <w:trPr>
          <w:trHeight w:val="260"/>
        </w:trPr>
        <w:tc>
          <w:tcPr>
            <w:tcW w:w="2430" w:type="dxa"/>
          </w:tcPr>
          <w:p w14:paraId="24E537DD" w14:textId="77777777" w:rsidR="00FD27C4" w:rsidRPr="002A5DBF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 w:rsidRPr="002A5DBF">
              <w:rPr>
                <w:rFonts w:eastAsia="Calibri"/>
                <w:szCs w:val="20"/>
              </w:rPr>
              <w:t>F10-F19</w:t>
            </w:r>
          </w:p>
        </w:tc>
        <w:tc>
          <w:tcPr>
            <w:tcW w:w="6393" w:type="dxa"/>
          </w:tcPr>
          <w:p w14:paraId="089CCF16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 w:rsidRPr="002A5DBF">
              <w:rPr>
                <w:rFonts w:eastAsia="Calibri"/>
                <w:szCs w:val="20"/>
              </w:rPr>
              <w:t>Mental and behavioral disorders due to psychoactive substance use</w:t>
            </w:r>
            <w:r>
              <w:rPr>
                <w:rFonts w:eastAsia="Calibri"/>
                <w:szCs w:val="20"/>
              </w:rPr>
              <w:t>, including alcohol, opioid, and other substances</w:t>
            </w:r>
          </w:p>
        </w:tc>
      </w:tr>
      <w:tr w:rsidR="00FD27C4" w:rsidRPr="002A5DBF" w14:paraId="4E141A57" w14:textId="77777777" w:rsidTr="0057403D">
        <w:trPr>
          <w:trHeight w:val="260"/>
        </w:trPr>
        <w:tc>
          <w:tcPr>
            <w:tcW w:w="2430" w:type="dxa"/>
          </w:tcPr>
          <w:p w14:paraId="4B211B97" w14:textId="77777777" w:rsidR="00FD27C4" w:rsidRPr="002A5DBF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F10</w:t>
            </w:r>
          </w:p>
        </w:tc>
        <w:tc>
          <w:tcPr>
            <w:tcW w:w="6393" w:type="dxa"/>
          </w:tcPr>
          <w:p w14:paraId="502C49B2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Alcohol related disorders</w:t>
            </w:r>
          </w:p>
        </w:tc>
      </w:tr>
      <w:tr w:rsidR="00FD27C4" w:rsidRPr="002A5DBF" w14:paraId="19E74558" w14:textId="77777777" w:rsidTr="0057403D">
        <w:trPr>
          <w:trHeight w:val="260"/>
        </w:trPr>
        <w:tc>
          <w:tcPr>
            <w:tcW w:w="2430" w:type="dxa"/>
          </w:tcPr>
          <w:p w14:paraId="74434BED" w14:textId="77777777" w:rsidR="00FD27C4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 w:rsidRPr="00094A53">
              <w:rPr>
                <w:rFonts w:eastAsia="Calibri"/>
                <w:szCs w:val="20"/>
              </w:rPr>
              <w:t>F13</w:t>
            </w:r>
          </w:p>
        </w:tc>
        <w:tc>
          <w:tcPr>
            <w:tcW w:w="6393" w:type="dxa"/>
          </w:tcPr>
          <w:p w14:paraId="54C4B882" w14:textId="77777777" w:rsidR="00FD27C4" w:rsidRPr="00971784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 w:rsidRPr="00396439">
              <w:rPr>
                <w:rFonts w:eastAsia="Calibri"/>
                <w:szCs w:val="20"/>
              </w:rPr>
              <w:t>Sedative, hypnotic, or anxiolytic related disorders</w:t>
            </w:r>
          </w:p>
        </w:tc>
      </w:tr>
      <w:tr w:rsidR="00FD27C4" w:rsidRPr="002A5DBF" w14:paraId="107EE6A2" w14:textId="77777777" w:rsidTr="0057403D">
        <w:trPr>
          <w:trHeight w:val="260"/>
        </w:trPr>
        <w:tc>
          <w:tcPr>
            <w:tcW w:w="2430" w:type="dxa"/>
          </w:tcPr>
          <w:p w14:paraId="585C0CF2" w14:textId="77777777" w:rsidR="00FD27C4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 w:rsidRPr="002A5DBF">
              <w:rPr>
                <w:rFonts w:eastAsia="Calibri"/>
                <w:szCs w:val="20"/>
              </w:rPr>
              <w:t>F17</w:t>
            </w:r>
          </w:p>
        </w:tc>
        <w:tc>
          <w:tcPr>
            <w:tcW w:w="6393" w:type="dxa"/>
          </w:tcPr>
          <w:p w14:paraId="5E6980CB" w14:textId="77777777" w:rsidR="00FD27C4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 w:rsidRPr="002A5DBF">
              <w:rPr>
                <w:rFonts w:eastAsia="Calibri"/>
                <w:szCs w:val="20"/>
              </w:rPr>
              <w:t>Nicotine dependence (includes smoking</w:t>
            </w:r>
            <w:r>
              <w:rPr>
                <w:rFonts w:eastAsia="Calibri"/>
                <w:szCs w:val="20"/>
              </w:rPr>
              <w:t>, vaping</w:t>
            </w:r>
            <w:r w:rsidRPr="002A5DBF">
              <w:rPr>
                <w:rFonts w:eastAsia="Calibri"/>
                <w:szCs w:val="20"/>
              </w:rPr>
              <w:t>)</w:t>
            </w:r>
          </w:p>
        </w:tc>
      </w:tr>
      <w:tr w:rsidR="00FD27C4" w:rsidRPr="002A5DBF" w14:paraId="441C711A" w14:textId="77777777" w:rsidTr="0057403D">
        <w:trPr>
          <w:trHeight w:val="260"/>
        </w:trPr>
        <w:tc>
          <w:tcPr>
            <w:tcW w:w="2430" w:type="dxa"/>
          </w:tcPr>
          <w:p w14:paraId="6F628421" w14:textId="77777777" w:rsidR="00FD27C4" w:rsidRPr="002A5DBF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 w:rsidRPr="005E3997">
              <w:rPr>
                <w:rFonts w:eastAsia="Calibri"/>
                <w:szCs w:val="20"/>
              </w:rPr>
              <w:t>F30-F39</w:t>
            </w:r>
          </w:p>
        </w:tc>
        <w:tc>
          <w:tcPr>
            <w:tcW w:w="6393" w:type="dxa"/>
          </w:tcPr>
          <w:p w14:paraId="3173D76E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Mood disorders (includes depression, bipolar)</w:t>
            </w:r>
          </w:p>
        </w:tc>
      </w:tr>
      <w:tr w:rsidR="00FD27C4" w:rsidRPr="002A5DBF" w14:paraId="0503D86B" w14:textId="77777777" w:rsidTr="0057403D">
        <w:trPr>
          <w:trHeight w:val="260"/>
        </w:trPr>
        <w:tc>
          <w:tcPr>
            <w:tcW w:w="2430" w:type="dxa"/>
          </w:tcPr>
          <w:p w14:paraId="122BB9A1" w14:textId="77777777" w:rsidR="00FD27C4" w:rsidRPr="005E3997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 w:rsidRPr="0044550B">
              <w:rPr>
                <w:rFonts w:eastAsia="Calibri"/>
                <w:szCs w:val="20"/>
              </w:rPr>
              <w:t>I10-I1A</w:t>
            </w:r>
          </w:p>
        </w:tc>
        <w:tc>
          <w:tcPr>
            <w:tcW w:w="6393" w:type="dxa"/>
          </w:tcPr>
          <w:p w14:paraId="327D1E65" w14:textId="77777777" w:rsidR="00FD27C4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Hypertensive diseases</w:t>
            </w:r>
          </w:p>
        </w:tc>
      </w:tr>
      <w:tr w:rsidR="00FD27C4" w:rsidRPr="002A5DBF" w14:paraId="51149D08" w14:textId="77777777" w:rsidTr="0057403D">
        <w:trPr>
          <w:trHeight w:val="260"/>
        </w:trPr>
        <w:tc>
          <w:tcPr>
            <w:tcW w:w="2430" w:type="dxa"/>
          </w:tcPr>
          <w:p w14:paraId="7F923E89" w14:textId="77777777" w:rsidR="00FD27C4" w:rsidRPr="005E3997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 w:rsidRPr="00C73740">
              <w:rPr>
                <w:rFonts w:eastAsia="Calibri"/>
                <w:szCs w:val="20"/>
              </w:rPr>
              <w:t>J44.9</w:t>
            </w:r>
          </w:p>
        </w:tc>
        <w:tc>
          <w:tcPr>
            <w:tcW w:w="6393" w:type="dxa"/>
          </w:tcPr>
          <w:p w14:paraId="2875FA6B" w14:textId="77777777" w:rsidR="00FD27C4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 w:rsidRPr="005D224F">
              <w:rPr>
                <w:rFonts w:eastAsia="Calibri"/>
                <w:szCs w:val="20"/>
              </w:rPr>
              <w:t>Chronic obstructive pulmonary disease, unspecified</w:t>
            </w:r>
          </w:p>
        </w:tc>
      </w:tr>
      <w:tr w:rsidR="00FD27C4" w:rsidRPr="002A5DBF" w14:paraId="0091F316" w14:textId="77777777" w:rsidTr="0057403D">
        <w:trPr>
          <w:trHeight w:val="260"/>
        </w:trPr>
        <w:tc>
          <w:tcPr>
            <w:tcW w:w="2430" w:type="dxa"/>
          </w:tcPr>
          <w:p w14:paraId="1ED924A9" w14:textId="77777777" w:rsidR="00FD27C4" w:rsidRPr="00C73740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K70-K77</w:t>
            </w:r>
          </w:p>
        </w:tc>
        <w:tc>
          <w:tcPr>
            <w:tcW w:w="6393" w:type="dxa"/>
          </w:tcPr>
          <w:p w14:paraId="0B601854" w14:textId="77777777" w:rsidR="00FD27C4" w:rsidRPr="005D224F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Diseases of liver</w:t>
            </w:r>
          </w:p>
        </w:tc>
      </w:tr>
      <w:tr w:rsidR="00FD27C4" w:rsidRPr="002A5DBF" w14:paraId="669D68BF" w14:textId="77777777" w:rsidTr="0057403D">
        <w:trPr>
          <w:trHeight w:val="260"/>
        </w:trPr>
        <w:tc>
          <w:tcPr>
            <w:tcW w:w="2430" w:type="dxa"/>
          </w:tcPr>
          <w:p w14:paraId="7A2738AE" w14:textId="77777777" w:rsidR="00FD27C4" w:rsidRPr="005E3997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M19</w:t>
            </w:r>
          </w:p>
        </w:tc>
        <w:tc>
          <w:tcPr>
            <w:tcW w:w="6393" w:type="dxa"/>
          </w:tcPr>
          <w:p w14:paraId="4DB65310" w14:textId="77777777" w:rsidR="00FD27C4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 w:rsidRPr="00FD2F2F">
              <w:rPr>
                <w:rFonts w:eastAsia="Calibri"/>
                <w:szCs w:val="20"/>
              </w:rPr>
              <w:t>Other and unspecified osteoarthritis</w:t>
            </w:r>
          </w:p>
        </w:tc>
      </w:tr>
      <w:tr w:rsidR="00FD27C4" w:rsidRPr="002A5DBF" w14:paraId="1B707A8B" w14:textId="77777777" w:rsidTr="0057403D">
        <w:trPr>
          <w:trHeight w:val="260"/>
        </w:trPr>
        <w:tc>
          <w:tcPr>
            <w:tcW w:w="2430" w:type="dxa"/>
          </w:tcPr>
          <w:p w14:paraId="3FC862B8" w14:textId="77777777" w:rsidR="00FD27C4" w:rsidRDefault="00FD27C4" w:rsidP="0057403D">
            <w:pPr>
              <w:keepNext/>
              <w:keepLines/>
              <w:spacing w:after="100" w:afterAutospacing="1"/>
              <w:ind w:firstLine="166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N18</w:t>
            </w:r>
          </w:p>
        </w:tc>
        <w:tc>
          <w:tcPr>
            <w:tcW w:w="6393" w:type="dxa"/>
          </w:tcPr>
          <w:p w14:paraId="058005F0" w14:textId="77777777" w:rsidR="00FD27C4" w:rsidRPr="00FD2F2F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Chronic kidney disease</w:t>
            </w:r>
          </w:p>
        </w:tc>
      </w:tr>
      <w:tr w:rsidR="00FD27C4" w:rsidRPr="002A5DBF" w14:paraId="0C27F2FE" w14:textId="77777777" w:rsidTr="0057403D">
        <w:trPr>
          <w:trHeight w:val="237"/>
        </w:trPr>
        <w:tc>
          <w:tcPr>
            <w:tcW w:w="8823" w:type="dxa"/>
            <w:gridSpan w:val="2"/>
          </w:tcPr>
          <w:p w14:paraId="4519DC5F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 xml:space="preserve">Prescription medications </w:t>
            </w:r>
          </w:p>
        </w:tc>
      </w:tr>
      <w:tr w:rsidR="00FD27C4" w:rsidRPr="002A5DBF" w14:paraId="58DD5DCA" w14:textId="77777777" w:rsidTr="0057403D">
        <w:trPr>
          <w:trHeight w:val="215"/>
        </w:trPr>
        <w:tc>
          <w:tcPr>
            <w:tcW w:w="2430" w:type="dxa"/>
          </w:tcPr>
          <w:p w14:paraId="73A1C2E0" w14:textId="77777777" w:rsidR="00FD27C4" w:rsidRDefault="00FD27C4" w:rsidP="0057403D">
            <w:pPr>
              <w:keepNext/>
              <w:keepLines/>
              <w:spacing w:after="100" w:afterAutospacing="1"/>
              <w:ind w:left="165"/>
              <w:rPr>
                <w:szCs w:val="20"/>
              </w:rPr>
            </w:pPr>
            <w:r>
              <w:rPr>
                <w:szCs w:val="20"/>
              </w:rPr>
              <w:t>7242 (</w:t>
            </w:r>
            <w:proofErr w:type="spellStart"/>
            <w:r>
              <w:rPr>
                <w:szCs w:val="20"/>
              </w:rPr>
              <w:t>RxNorm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6393" w:type="dxa"/>
          </w:tcPr>
          <w:p w14:paraId="1FBE0BF4" w14:textId="77777777" w:rsidR="00FD27C4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Naloxone</w:t>
            </w:r>
          </w:p>
        </w:tc>
      </w:tr>
      <w:tr w:rsidR="00FD27C4" w:rsidRPr="002A5DBF" w14:paraId="3EC8835F" w14:textId="77777777" w:rsidTr="0057403D">
        <w:trPr>
          <w:trHeight w:val="215"/>
        </w:trPr>
        <w:tc>
          <w:tcPr>
            <w:tcW w:w="2430" w:type="dxa"/>
          </w:tcPr>
          <w:p w14:paraId="3F63F988" w14:textId="77777777" w:rsidR="00FD27C4" w:rsidRDefault="00FD27C4" w:rsidP="0057403D">
            <w:pPr>
              <w:keepNext/>
              <w:keepLines/>
              <w:spacing w:after="100" w:afterAutospacing="1"/>
              <w:ind w:left="165"/>
              <w:rPr>
                <w:szCs w:val="20"/>
              </w:rPr>
            </w:pPr>
            <w:r w:rsidRPr="001B0036">
              <w:rPr>
                <w:szCs w:val="20"/>
              </w:rPr>
              <w:t>25480</w:t>
            </w:r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RxNorm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6393" w:type="dxa"/>
          </w:tcPr>
          <w:p w14:paraId="7968A680" w14:textId="77777777" w:rsidR="00FD27C4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Gabapentin</w:t>
            </w:r>
          </w:p>
        </w:tc>
      </w:tr>
      <w:tr w:rsidR="00FD27C4" w:rsidRPr="002A5DBF" w14:paraId="0F682D2A" w14:textId="77777777" w:rsidTr="0057403D">
        <w:trPr>
          <w:trHeight w:val="215"/>
        </w:trPr>
        <w:tc>
          <w:tcPr>
            <w:tcW w:w="2430" w:type="dxa"/>
          </w:tcPr>
          <w:p w14:paraId="2D64AB8E" w14:textId="77777777" w:rsidR="00FD27C4" w:rsidRPr="00115E07" w:rsidRDefault="00FD27C4" w:rsidP="0057403D">
            <w:pPr>
              <w:keepNext/>
              <w:keepLines/>
              <w:spacing w:after="100" w:afterAutospacing="1"/>
              <w:ind w:left="165"/>
              <w:rPr>
                <w:szCs w:val="20"/>
              </w:rPr>
            </w:pPr>
            <w:r w:rsidRPr="00115E07">
              <w:rPr>
                <w:szCs w:val="20"/>
              </w:rPr>
              <w:t>AD100</w:t>
            </w:r>
            <w:r>
              <w:rPr>
                <w:szCs w:val="20"/>
              </w:rPr>
              <w:t xml:space="preserve"> (VANDF)</w:t>
            </w:r>
          </w:p>
        </w:tc>
        <w:tc>
          <w:tcPr>
            <w:tcW w:w="6393" w:type="dxa"/>
          </w:tcPr>
          <w:p w14:paraId="0A162A79" w14:textId="77777777" w:rsidR="00FD27C4" w:rsidRPr="00115E07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115E07">
              <w:rPr>
                <w:szCs w:val="20"/>
              </w:rPr>
              <w:t>Alcohol deterrents</w:t>
            </w:r>
          </w:p>
        </w:tc>
      </w:tr>
      <w:tr w:rsidR="00FD27C4" w:rsidRPr="002A5DBF" w14:paraId="36744392" w14:textId="77777777" w:rsidTr="0057403D">
        <w:trPr>
          <w:trHeight w:val="215"/>
        </w:trPr>
        <w:tc>
          <w:tcPr>
            <w:tcW w:w="2430" w:type="dxa"/>
          </w:tcPr>
          <w:p w14:paraId="2A99697E" w14:textId="77777777" w:rsidR="00FD27C4" w:rsidRPr="002A5DBF" w:rsidRDefault="00FD27C4" w:rsidP="0057403D">
            <w:pPr>
              <w:keepNext/>
              <w:keepLines/>
              <w:spacing w:after="100" w:afterAutospacing="1"/>
              <w:ind w:left="165"/>
              <w:rPr>
                <w:szCs w:val="20"/>
              </w:rPr>
            </w:pPr>
            <w:r w:rsidRPr="002A5DBF">
              <w:rPr>
                <w:szCs w:val="20"/>
              </w:rPr>
              <w:t>CN101 (VANDF)</w:t>
            </w:r>
          </w:p>
        </w:tc>
        <w:tc>
          <w:tcPr>
            <w:tcW w:w="6393" w:type="dxa"/>
          </w:tcPr>
          <w:p w14:paraId="5A70DA51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>Opioid analgesics</w:t>
            </w:r>
          </w:p>
        </w:tc>
      </w:tr>
      <w:tr w:rsidR="00FD27C4" w:rsidRPr="002A5DBF" w14:paraId="4E342EE1" w14:textId="77777777" w:rsidTr="0057403D">
        <w:trPr>
          <w:trHeight w:val="215"/>
        </w:trPr>
        <w:tc>
          <w:tcPr>
            <w:tcW w:w="2430" w:type="dxa"/>
          </w:tcPr>
          <w:p w14:paraId="25511254" w14:textId="77777777" w:rsidR="00FD27C4" w:rsidRPr="002A5DBF" w:rsidRDefault="00FD27C4" w:rsidP="0057403D">
            <w:pPr>
              <w:keepNext/>
              <w:keepLines/>
              <w:spacing w:after="100" w:afterAutospacing="1"/>
              <w:ind w:left="165"/>
              <w:rPr>
                <w:szCs w:val="20"/>
              </w:rPr>
            </w:pPr>
            <w:r>
              <w:rPr>
                <w:szCs w:val="20"/>
              </w:rPr>
              <w:t>CN300 (VANDF)</w:t>
            </w:r>
          </w:p>
        </w:tc>
        <w:tc>
          <w:tcPr>
            <w:tcW w:w="6393" w:type="dxa"/>
          </w:tcPr>
          <w:p w14:paraId="3238F5A3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Sedatives/hypnotics (includes benzodiazepines)</w:t>
            </w:r>
          </w:p>
        </w:tc>
      </w:tr>
      <w:tr w:rsidR="00FD27C4" w:rsidRPr="002A5DBF" w14:paraId="6CDE4FBE" w14:textId="77777777" w:rsidTr="0057403D">
        <w:trPr>
          <w:trHeight w:val="215"/>
        </w:trPr>
        <w:tc>
          <w:tcPr>
            <w:tcW w:w="2430" w:type="dxa"/>
          </w:tcPr>
          <w:p w14:paraId="42F73E36" w14:textId="77777777" w:rsidR="00FD27C4" w:rsidRPr="002A5DBF" w:rsidRDefault="00FD27C4" w:rsidP="0057403D">
            <w:pPr>
              <w:keepNext/>
              <w:keepLines/>
              <w:spacing w:after="100" w:afterAutospacing="1"/>
              <w:ind w:left="165"/>
              <w:rPr>
                <w:szCs w:val="20"/>
              </w:rPr>
            </w:pPr>
            <w:r w:rsidRPr="00BA3F16">
              <w:rPr>
                <w:szCs w:val="20"/>
              </w:rPr>
              <w:t xml:space="preserve">MS200 </w:t>
            </w:r>
            <w:r>
              <w:rPr>
                <w:szCs w:val="20"/>
              </w:rPr>
              <w:t>(VANDF)</w:t>
            </w:r>
          </w:p>
        </w:tc>
        <w:tc>
          <w:tcPr>
            <w:tcW w:w="6393" w:type="dxa"/>
          </w:tcPr>
          <w:p w14:paraId="221A7A9B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0412A9">
              <w:rPr>
                <w:szCs w:val="20"/>
              </w:rPr>
              <w:t>keletal muscle relaxants</w:t>
            </w:r>
          </w:p>
        </w:tc>
      </w:tr>
      <w:tr w:rsidR="00FD27C4" w:rsidRPr="002A5DBF" w14:paraId="55861D96" w14:textId="77777777" w:rsidTr="0057403D">
        <w:trPr>
          <w:trHeight w:val="215"/>
        </w:trPr>
        <w:tc>
          <w:tcPr>
            <w:tcW w:w="2430" w:type="dxa"/>
          </w:tcPr>
          <w:p w14:paraId="27A61826" w14:textId="77777777" w:rsidR="00FD27C4" w:rsidRDefault="00FD27C4" w:rsidP="0057403D">
            <w:pPr>
              <w:keepNext/>
              <w:keepLines/>
              <w:spacing w:after="100" w:afterAutospacing="1"/>
              <w:ind w:left="165"/>
              <w:rPr>
                <w:szCs w:val="20"/>
              </w:rPr>
            </w:pPr>
            <w:r>
              <w:rPr>
                <w:szCs w:val="20"/>
              </w:rPr>
              <w:t>VA000 (VANDF)</w:t>
            </w:r>
          </w:p>
        </w:tc>
        <w:tc>
          <w:tcPr>
            <w:tcW w:w="6393" w:type="dxa"/>
          </w:tcPr>
          <w:p w14:paraId="29F9217A" w14:textId="77777777" w:rsidR="00FD27C4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>
              <w:rPr>
                <w:szCs w:val="20"/>
              </w:rPr>
              <w:t>Medications (any)</w:t>
            </w:r>
          </w:p>
        </w:tc>
      </w:tr>
      <w:tr w:rsidR="00FD27C4" w:rsidRPr="002A5DBF" w14:paraId="01F4995E" w14:textId="77777777" w:rsidTr="0057403D">
        <w:trPr>
          <w:trHeight w:val="215"/>
        </w:trPr>
        <w:tc>
          <w:tcPr>
            <w:tcW w:w="8823" w:type="dxa"/>
            <w:gridSpan w:val="2"/>
          </w:tcPr>
          <w:p w14:paraId="1529DC49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 w:rsidRPr="002A5DBF">
              <w:rPr>
                <w:rFonts w:eastAsia="Calibri"/>
                <w:szCs w:val="20"/>
              </w:rPr>
              <w:t>Social determinants of health</w:t>
            </w:r>
            <w:r>
              <w:rPr>
                <w:rFonts w:eastAsia="Calibri"/>
                <w:szCs w:val="20"/>
              </w:rPr>
              <w:t xml:space="preserve"> (ICD-10)</w:t>
            </w:r>
          </w:p>
        </w:tc>
      </w:tr>
      <w:tr w:rsidR="00FD27C4" w:rsidRPr="002A5DBF" w14:paraId="2FE383EE" w14:textId="77777777" w:rsidTr="0057403D">
        <w:trPr>
          <w:trHeight w:val="215"/>
        </w:trPr>
        <w:tc>
          <w:tcPr>
            <w:tcW w:w="2430" w:type="dxa"/>
          </w:tcPr>
          <w:p w14:paraId="1FAC4B25" w14:textId="77777777" w:rsidR="00FD27C4" w:rsidRPr="002A5DBF" w:rsidRDefault="00FD27C4" w:rsidP="0057403D">
            <w:pPr>
              <w:keepNext/>
              <w:keepLines/>
              <w:spacing w:after="100" w:afterAutospacing="1"/>
              <w:ind w:left="163"/>
              <w:rPr>
                <w:rFonts w:eastAsia="Calibri"/>
                <w:szCs w:val="20"/>
              </w:rPr>
            </w:pPr>
            <w:r w:rsidRPr="002A5DBF">
              <w:rPr>
                <w:rFonts w:eastAsia="Calibri"/>
                <w:szCs w:val="20"/>
              </w:rPr>
              <w:t>Z5</w:t>
            </w:r>
            <w:r>
              <w:rPr>
                <w:rFonts w:eastAsia="Calibri"/>
                <w:szCs w:val="20"/>
              </w:rPr>
              <w:t>5-65</w:t>
            </w:r>
          </w:p>
        </w:tc>
        <w:tc>
          <w:tcPr>
            <w:tcW w:w="6393" w:type="dxa"/>
          </w:tcPr>
          <w:p w14:paraId="2FCB936D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Adverse socioeconomic and psychosocial circumstances</w:t>
            </w:r>
          </w:p>
        </w:tc>
      </w:tr>
      <w:tr w:rsidR="00FD27C4" w:rsidRPr="002A5DBF" w14:paraId="7D362FD0" w14:textId="77777777" w:rsidTr="0057403D">
        <w:trPr>
          <w:trHeight w:val="215"/>
        </w:trPr>
        <w:tc>
          <w:tcPr>
            <w:tcW w:w="8823" w:type="dxa"/>
            <w:gridSpan w:val="2"/>
          </w:tcPr>
          <w:p w14:paraId="4649184E" w14:textId="77777777" w:rsidR="00FD27C4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Procedures (CPT)</w:t>
            </w:r>
          </w:p>
        </w:tc>
      </w:tr>
      <w:tr w:rsidR="00FD27C4" w:rsidRPr="002A5DBF" w14:paraId="2B00CCAC" w14:textId="77777777" w:rsidTr="0057403D">
        <w:trPr>
          <w:trHeight w:val="215"/>
        </w:trPr>
        <w:tc>
          <w:tcPr>
            <w:tcW w:w="2430" w:type="dxa"/>
          </w:tcPr>
          <w:p w14:paraId="22D549B5" w14:textId="77777777" w:rsidR="00FD27C4" w:rsidRPr="002A5DBF" w:rsidRDefault="00FD27C4" w:rsidP="0057403D">
            <w:pPr>
              <w:keepNext/>
              <w:keepLines/>
              <w:spacing w:after="100" w:afterAutospacing="1"/>
              <w:ind w:left="163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1003143</w:t>
            </w:r>
          </w:p>
        </w:tc>
        <w:tc>
          <w:tcPr>
            <w:tcW w:w="6393" w:type="dxa"/>
          </w:tcPr>
          <w:p w14:paraId="6B796411" w14:textId="77777777" w:rsidR="00FD27C4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Surgery</w:t>
            </w:r>
          </w:p>
        </w:tc>
      </w:tr>
      <w:tr w:rsidR="00FD27C4" w:rsidRPr="002A5DBF" w14:paraId="750A002A" w14:textId="77777777" w:rsidTr="0057403D">
        <w:trPr>
          <w:trHeight w:val="215"/>
        </w:trPr>
        <w:tc>
          <w:tcPr>
            <w:tcW w:w="2430" w:type="dxa"/>
          </w:tcPr>
          <w:p w14:paraId="58B8BCEC" w14:textId="77777777" w:rsidR="00FD27C4" w:rsidRDefault="00FD27C4" w:rsidP="0057403D">
            <w:pPr>
              <w:keepNext/>
              <w:keepLines/>
              <w:spacing w:after="100" w:afterAutospacing="1"/>
              <w:ind w:left="163"/>
              <w:rPr>
                <w:rFonts w:eastAsia="Calibri"/>
                <w:szCs w:val="20"/>
              </w:rPr>
            </w:pPr>
            <w:r w:rsidRPr="00BA2BB1">
              <w:rPr>
                <w:rFonts w:eastAsia="Calibri"/>
                <w:szCs w:val="20"/>
              </w:rPr>
              <w:t>1002796</w:t>
            </w:r>
          </w:p>
        </w:tc>
        <w:tc>
          <w:tcPr>
            <w:tcW w:w="6393" w:type="dxa"/>
          </w:tcPr>
          <w:p w14:paraId="42348CCA" w14:textId="77777777" w:rsidR="00FD27C4" w:rsidDel="005218A9" w:rsidRDefault="00FD27C4" w:rsidP="0057403D">
            <w:pPr>
              <w:keepNext/>
              <w:keepLines/>
              <w:spacing w:after="100" w:afterAutospacing="1"/>
              <w:rPr>
                <w:rFonts w:eastAsia="Calibri"/>
                <w:szCs w:val="20"/>
              </w:rPr>
            </w:pPr>
            <w:r w:rsidRPr="00BA2BB1">
              <w:rPr>
                <w:rFonts w:eastAsia="Calibri"/>
                <w:szCs w:val="20"/>
              </w:rPr>
              <w:t>Anesthesia</w:t>
            </w:r>
          </w:p>
        </w:tc>
      </w:tr>
      <w:tr w:rsidR="00FD27C4" w:rsidRPr="002A5DBF" w14:paraId="13D22E6A" w14:textId="77777777" w:rsidTr="0057403D">
        <w:trPr>
          <w:trHeight w:val="237"/>
        </w:trPr>
        <w:tc>
          <w:tcPr>
            <w:tcW w:w="8823" w:type="dxa"/>
            <w:gridSpan w:val="2"/>
          </w:tcPr>
          <w:p w14:paraId="1BB542D9" w14:textId="77777777" w:rsidR="00FD27C4" w:rsidRPr="002A5DBF" w:rsidRDefault="00FD27C4" w:rsidP="0057403D">
            <w:pPr>
              <w:keepNext/>
              <w:keepLines/>
              <w:spacing w:after="100" w:afterAutospacing="1"/>
              <w:rPr>
                <w:szCs w:val="20"/>
              </w:rPr>
            </w:pPr>
            <w:r w:rsidRPr="002A5DBF">
              <w:rPr>
                <w:szCs w:val="20"/>
              </w:rPr>
              <w:t xml:space="preserve">Abbreviations: </w:t>
            </w:r>
            <w:r w:rsidRPr="00D34219">
              <w:rPr>
                <w:szCs w:val="20"/>
              </w:rPr>
              <w:t>Anatomical Therapeutic Chemical Classification</w:t>
            </w:r>
            <w:r>
              <w:rPr>
                <w:szCs w:val="20"/>
              </w:rPr>
              <w:t xml:space="preserve"> (ATC), Current Procedural Terminology (CPT), </w:t>
            </w:r>
            <w:r w:rsidRPr="002A5DBF">
              <w:rPr>
                <w:szCs w:val="20"/>
              </w:rPr>
              <w:t>normalized names for clinical drugs (</w:t>
            </w:r>
            <w:proofErr w:type="spellStart"/>
            <w:r w:rsidRPr="002A5DBF">
              <w:rPr>
                <w:szCs w:val="20"/>
              </w:rPr>
              <w:t>RxNorm</w:t>
            </w:r>
            <w:proofErr w:type="spellEnd"/>
            <w:r w:rsidRPr="002A5DBF">
              <w:rPr>
                <w:szCs w:val="20"/>
              </w:rPr>
              <w:t>); International Classification of Diseases</w:t>
            </w:r>
            <w:r>
              <w:rPr>
                <w:szCs w:val="20"/>
              </w:rPr>
              <w:t>, 10</w:t>
            </w:r>
            <w:r w:rsidRPr="00AC75E6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Edition (ICD-10)</w:t>
            </w:r>
            <w:r w:rsidRPr="002A5DBF">
              <w:rPr>
                <w:szCs w:val="20"/>
              </w:rPr>
              <w:t>; Veterans Health Administration National Drug File</w:t>
            </w:r>
            <w:r>
              <w:rPr>
                <w:szCs w:val="20"/>
              </w:rPr>
              <w:t xml:space="preserve"> (VANDF)</w:t>
            </w:r>
          </w:p>
        </w:tc>
      </w:tr>
    </w:tbl>
    <w:p w14:paraId="014B591A" w14:textId="77777777" w:rsidR="00FD27C4" w:rsidRDefault="00FD27C4" w:rsidP="00FD27C4"/>
    <w:p w14:paraId="35458B9D" w14:textId="77777777" w:rsidR="000B161A" w:rsidRDefault="000B161A"/>
    <w:sectPr w:rsidR="000B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C4"/>
    <w:rsid w:val="00054AA5"/>
    <w:rsid w:val="000B161A"/>
    <w:rsid w:val="00250420"/>
    <w:rsid w:val="0030583B"/>
    <w:rsid w:val="00556D59"/>
    <w:rsid w:val="005B0E78"/>
    <w:rsid w:val="00967CDD"/>
    <w:rsid w:val="009C5FA4"/>
    <w:rsid w:val="00A05CFB"/>
    <w:rsid w:val="00AE413B"/>
    <w:rsid w:val="00C07862"/>
    <w:rsid w:val="00D63ADF"/>
    <w:rsid w:val="00E5118F"/>
    <w:rsid w:val="00EC4189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2253"/>
  <w15:chartTrackingRefBased/>
  <w15:docId w15:val="{FF947AEC-28A0-4673-9B11-FF2AB10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C4"/>
  </w:style>
  <w:style w:type="paragraph" w:styleId="Heading1">
    <w:name w:val="heading 1"/>
    <w:basedOn w:val="Normal"/>
    <w:next w:val="Normal"/>
    <w:link w:val="Heading1Char"/>
    <w:uiPriority w:val="9"/>
    <w:qFormat/>
    <w:rsid w:val="00C07862"/>
    <w:pPr>
      <w:keepNext/>
      <w:keepLines/>
      <w:spacing w:before="360" w:after="80" w:line="240" w:lineRule="auto"/>
      <w:outlineLvl w:val="0"/>
    </w:pPr>
    <w:rPr>
      <w:rFonts w:ascii="Calibri" w:eastAsiaTheme="majorEastAsia" w:hAnsi="Calibri" w:cstheme="majorBidi"/>
      <w:kern w:val="0"/>
      <w:sz w:val="32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862"/>
    <w:pPr>
      <w:keepNext/>
      <w:keepLines/>
      <w:spacing w:before="160" w:after="80" w:line="240" w:lineRule="auto"/>
      <w:outlineLvl w:val="1"/>
    </w:pPr>
    <w:rPr>
      <w:rFonts w:ascii="Calibri" w:eastAsiaTheme="majorEastAsia" w:hAnsi="Calibri" w:cstheme="majorBidi"/>
      <w:kern w:val="0"/>
      <w:sz w:val="28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7C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7C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7C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7C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7C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7C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7C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62"/>
    <w:rPr>
      <w:rFonts w:ascii="Calibri" w:eastAsiaTheme="majorEastAsia" w:hAnsi="Calibri" w:cstheme="majorBidi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7862"/>
    <w:rPr>
      <w:rFonts w:ascii="Calibri" w:eastAsiaTheme="majorEastAsia" w:hAnsi="Calibr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7C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7C4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7C4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7C4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7C4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7C4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7C4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D2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D27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7C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D27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D27C4"/>
    <w:pPr>
      <w:spacing w:before="160" w:line="240" w:lineRule="auto"/>
      <w:jc w:val="center"/>
    </w:pPr>
    <w:rPr>
      <w:rFonts w:ascii="Calibri" w:hAnsi="Calibr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FD27C4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D27C4"/>
    <w:pPr>
      <w:spacing w:after="120" w:line="240" w:lineRule="auto"/>
      <w:ind w:left="720"/>
      <w:contextualSpacing/>
    </w:pPr>
    <w:rPr>
      <w:rFonts w:ascii="Calibri" w:hAnsi="Calibr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FD2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7C4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D27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27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27C4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Trager</dc:creator>
  <cp:keywords/>
  <dc:description/>
  <cp:lastModifiedBy>Frank M Painter</cp:lastModifiedBy>
  <cp:revision>2</cp:revision>
  <dcterms:created xsi:type="dcterms:W3CDTF">2025-01-30T04:57:00Z</dcterms:created>
  <dcterms:modified xsi:type="dcterms:W3CDTF">2025-01-30T04:57:00Z</dcterms:modified>
</cp:coreProperties>
</file>