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14E9" w14:textId="1E515996" w:rsidR="006B0BC9" w:rsidRPr="001A6750" w:rsidRDefault="006B0BC9" w:rsidP="006B0BC9">
      <w:pPr>
        <w:pStyle w:val="Caption"/>
        <w:keepNext/>
        <w:rPr>
          <w:sz w:val="22"/>
          <w:szCs w:val="22"/>
        </w:rPr>
      </w:pPr>
      <w:r w:rsidRPr="001A6750">
        <w:rPr>
          <w:sz w:val="22"/>
          <w:szCs w:val="22"/>
        </w:rPr>
        <w:t>S4 Table: Opioid-related adverse drug events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40"/>
        <w:gridCol w:w="6840"/>
      </w:tblGrid>
      <w:tr w:rsidR="006B0BC9" w:rsidRPr="002A5DBF" w14:paraId="24A4EE66" w14:textId="77777777" w:rsidTr="0057403D">
        <w:trPr>
          <w:trHeight w:val="237"/>
        </w:trPr>
        <w:tc>
          <w:tcPr>
            <w:tcW w:w="2340" w:type="dxa"/>
          </w:tcPr>
          <w:p w14:paraId="35AC18D2" w14:textId="77777777" w:rsidR="006B0BC9" w:rsidRPr="002A5DBF" w:rsidRDefault="006B0BC9" w:rsidP="0057403D">
            <w:pPr>
              <w:keepNext/>
              <w:keepLines/>
              <w:spacing w:after="100" w:afterAutospacing="1"/>
              <w:rPr>
                <w:b/>
                <w:bCs/>
                <w:szCs w:val="20"/>
              </w:rPr>
            </w:pPr>
            <w:r w:rsidRPr="002A5DBF">
              <w:rPr>
                <w:b/>
                <w:bCs/>
                <w:szCs w:val="20"/>
              </w:rPr>
              <w:t>Variable/Code</w:t>
            </w:r>
          </w:p>
        </w:tc>
        <w:tc>
          <w:tcPr>
            <w:tcW w:w="6840" w:type="dxa"/>
          </w:tcPr>
          <w:p w14:paraId="2640F287" w14:textId="77777777" w:rsidR="006B0BC9" w:rsidRPr="002A5DBF" w:rsidRDefault="006B0BC9" w:rsidP="0057403D">
            <w:pPr>
              <w:keepNext/>
              <w:keepLines/>
              <w:spacing w:after="100" w:afterAutospacing="1"/>
              <w:rPr>
                <w:b/>
                <w:bCs/>
                <w:szCs w:val="20"/>
              </w:rPr>
            </w:pPr>
            <w:r w:rsidRPr="002A5DBF">
              <w:rPr>
                <w:b/>
                <w:bCs/>
                <w:szCs w:val="20"/>
              </w:rPr>
              <w:t>Description</w:t>
            </w:r>
          </w:p>
        </w:tc>
      </w:tr>
      <w:tr w:rsidR="006B0BC9" w:rsidRPr="002A5DBF" w14:paraId="4B37D968" w14:textId="77777777" w:rsidTr="0057403D">
        <w:trPr>
          <w:trHeight w:val="237"/>
        </w:trPr>
        <w:tc>
          <w:tcPr>
            <w:tcW w:w="2340" w:type="dxa"/>
          </w:tcPr>
          <w:p w14:paraId="665A9239" w14:textId="77777777" w:rsidR="006B0BC9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 w:rsidRPr="00C53CFB">
              <w:rPr>
                <w:szCs w:val="20"/>
              </w:rPr>
              <w:t>HZ85ZZZ</w:t>
            </w:r>
            <w:r>
              <w:rPr>
                <w:szCs w:val="20"/>
              </w:rPr>
              <w:t xml:space="preserve"> </w:t>
            </w:r>
            <w:r w:rsidRPr="00C92FE2">
              <w:rPr>
                <w:szCs w:val="20"/>
              </w:rPr>
              <w:t>(ICD-10-PCS)</w:t>
            </w:r>
          </w:p>
        </w:tc>
        <w:tc>
          <w:tcPr>
            <w:tcW w:w="6840" w:type="dxa"/>
          </w:tcPr>
          <w:p w14:paraId="3BA88660" w14:textId="77777777" w:rsidR="006B0BC9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M</w:t>
            </w:r>
            <w:r w:rsidRPr="000517E5">
              <w:rPr>
                <w:szCs w:val="20"/>
              </w:rPr>
              <w:t>edication management for substance abuse treatment, naloxone</w:t>
            </w:r>
          </w:p>
        </w:tc>
      </w:tr>
      <w:tr w:rsidR="006B0BC9" w:rsidRPr="002A5DBF" w14:paraId="0C9C6A57" w14:textId="77777777" w:rsidTr="0057403D">
        <w:trPr>
          <w:trHeight w:val="237"/>
        </w:trPr>
        <w:tc>
          <w:tcPr>
            <w:tcW w:w="2340" w:type="dxa"/>
          </w:tcPr>
          <w:p w14:paraId="389C3E07" w14:textId="77777777" w:rsidR="006B0BC9" w:rsidRPr="00C53CFB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 w:rsidRPr="00F32EC5">
              <w:rPr>
                <w:rFonts w:ascii="Calibri" w:eastAsia="Times New Roman" w:hAnsi="Calibri" w:cs="Calibri"/>
                <w:color w:val="222222"/>
              </w:rPr>
              <w:t>HZ95ZZZ</w:t>
            </w:r>
            <w:r>
              <w:rPr>
                <w:rFonts w:ascii="Calibri" w:eastAsia="Times New Roman" w:hAnsi="Calibri" w:cs="Calibri"/>
                <w:color w:val="222222"/>
              </w:rPr>
              <w:t xml:space="preserve"> </w:t>
            </w:r>
            <w:r w:rsidRPr="00C92FE2">
              <w:rPr>
                <w:szCs w:val="20"/>
              </w:rPr>
              <w:t>(ICD-10-PCS)</w:t>
            </w:r>
          </w:p>
        </w:tc>
        <w:tc>
          <w:tcPr>
            <w:tcW w:w="6840" w:type="dxa"/>
          </w:tcPr>
          <w:p w14:paraId="5D0464D0" w14:textId="77777777" w:rsidR="006B0BC9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557021">
              <w:rPr>
                <w:szCs w:val="20"/>
              </w:rPr>
              <w:t>harmacotherapy for substance abuse treatment, naloxone</w:t>
            </w:r>
          </w:p>
        </w:tc>
      </w:tr>
      <w:tr w:rsidR="006B0BC9" w:rsidRPr="002A5DBF" w14:paraId="28574070" w14:textId="77777777" w:rsidTr="0057403D">
        <w:trPr>
          <w:trHeight w:val="237"/>
        </w:trPr>
        <w:tc>
          <w:tcPr>
            <w:tcW w:w="2340" w:type="dxa"/>
          </w:tcPr>
          <w:p w14:paraId="67A838DC" w14:textId="77777777" w:rsidR="006B0BC9" w:rsidRPr="002A5DBF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J2310 (HCPCS)</w:t>
            </w:r>
          </w:p>
        </w:tc>
        <w:tc>
          <w:tcPr>
            <w:tcW w:w="6840" w:type="dxa"/>
          </w:tcPr>
          <w:p w14:paraId="3B9A4509" w14:textId="77777777" w:rsidR="006B0BC9" w:rsidRPr="002A5DBF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Injection, naloxone hydrochloride, per 1 mg</w:t>
            </w:r>
          </w:p>
        </w:tc>
      </w:tr>
      <w:tr w:rsidR="006B0BC9" w:rsidRPr="002A5DBF" w14:paraId="1E901637" w14:textId="77777777" w:rsidTr="0057403D">
        <w:trPr>
          <w:trHeight w:val="237"/>
        </w:trPr>
        <w:tc>
          <w:tcPr>
            <w:tcW w:w="2340" w:type="dxa"/>
          </w:tcPr>
          <w:p w14:paraId="364FDE2E" w14:textId="77777777" w:rsidR="006B0BC9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 w:rsidRPr="00F32EC5">
              <w:rPr>
                <w:rFonts w:ascii="Calibri" w:eastAsia="Times New Roman" w:hAnsi="Calibri" w:cs="Calibri"/>
                <w:color w:val="222222"/>
              </w:rPr>
              <w:t>J2315</w:t>
            </w:r>
            <w:r>
              <w:rPr>
                <w:rFonts w:ascii="Calibri" w:eastAsia="Times New Roman" w:hAnsi="Calibri" w:cs="Calibri"/>
                <w:color w:val="222222"/>
              </w:rPr>
              <w:t xml:space="preserve"> (HCPCS)</w:t>
            </w:r>
          </w:p>
        </w:tc>
        <w:tc>
          <w:tcPr>
            <w:tcW w:w="6840" w:type="dxa"/>
          </w:tcPr>
          <w:p w14:paraId="310B6E38" w14:textId="77777777" w:rsidR="006B0BC9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 w:rsidRPr="006277EE">
              <w:rPr>
                <w:szCs w:val="20"/>
              </w:rPr>
              <w:t>Injection, naloxone, depot form, 1mg</w:t>
            </w:r>
          </w:p>
        </w:tc>
      </w:tr>
      <w:tr w:rsidR="006B0BC9" w:rsidRPr="002A5DBF" w14:paraId="2742A76A" w14:textId="77777777" w:rsidTr="0057403D">
        <w:trPr>
          <w:trHeight w:val="237"/>
        </w:trPr>
        <w:tc>
          <w:tcPr>
            <w:tcW w:w="2340" w:type="dxa"/>
          </w:tcPr>
          <w:p w14:paraId="18B0F47B" w14:textId="77777777" w:rsidR="006B0BC9" w:rsidRPr="002A5DBF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T40.0 (ICD-10)</w:t>
            </w:r>
          </w:p>
        </w:tc>
        <w:tc>
          <w:tcPr>
            <w:tcW w:w="6840" w:type="dxa"/>
          </w:tcPr>
          <w:p w14:paraId="579FC483" w14:textId="77777777" w:rsidR="006B0BC9" w:rsidRPr="002A5DBF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Poisoning by, adverse effect of and underdosing of opium</w:t>
            </w:r>
          </w:p>
        </w:tc>
      </w:tr>
      <w:tr w:rsidR="006B0BC9" w:rsidRPr="002A5DBF" w14:paraId="124D130E" w14:textId="77777777" w:rsidTr="0057403D">
        <w:trPr>
          <w:trHeight w:val="237"/>
        </w:trPr>
        <w:tc>
          <w:tcPr>
            <w:tcW w:w="2340" w:type="dxa"/>
          </w:tcPr>
          <w:p w14:paraId="431D4E79" w14:textId="77777777" w:rsidR="006B0BC9" w:rsidRPr="002A5DBF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T40.2 (ICD-10)</w:t>
            </w:r>
          </w:p>
        </w:tc>
        <w:tc>
          <w:tcPr>
            <w:tcW w:w="6840" w:type="dxa"/>
          </w:tcPr>
          <w:p w14:paraId="56583DF0" w14:textId="77777777" w:rsidR="006B0BC9" w:rsidRPr="002A5DBF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Poisoning by, adverse effect of and underdosing of other opioids</w:t>
            </w:r>
          </w:p>
        </w:tc>
      </w:tr>
      <w:tr w:rsidR="006B0BC9" w:rsidRPr="002A5DBF" w14:paraId="0A593977" w14:textId="77777777" w:rsidTr="0057403D">
        <w:trPr>
          <w:trHeight w:val="237"/>
        </w:trPr>
        <w:tc>
          <w:tcPr>
            <w:tcW w:w="2340" w:type="dxa"/>
          </w:tcPr>
          <w:p w14:paraId="31E0C505" w14:textId="77777777" w:rsidR="006B0BC9" w:rsidRPr="002A5DBF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T40.3 (ICD-10)</w:t>
            </w:r>
          </w:p>
        </w:tc>
        <w:tc>
          <w:tcPr>
            <w:tcW w:w="6840" w:type="dxa"/>
          </w:tcPr>
          <w:p w14:paraId="16F32EDB" w14:textId="77777777" w:rsidR="006B0BC9" w:rsidRPr="002A5DBF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Poisoning by, adverse effect of and underdosing of methadone</w:t>
            </w:r>
          </w:p>
        </w:tc>
      </w:tr>
      <w:tr w:rsidR="006B0BC9" w:rsidRPr="002A5DBF" w14:paraId="0F32D685" w14:textId="77777777" w:rsidTr="0057403D">
        <w:trPr>
          <w:trHeight w:val="237"/>
        </w:trPr>
        <w:tc>
          <w:tcPr>
            <w:tcW w:w="2340" w:type="dxa"/>
          </w:tcPr>
          <w:p w14:paraId="1BFE3CA9" w14:textId="77777777" w:rsidR="006B0BC9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T40.4 (ICD-10)</w:t>
            </w:r>
          </w:p>
        </w:tc>
        <w:tc>
          <w:tcPr>
            <w:tcW w:w="6840" w:type="dxa"/>
          </w:tcPr>
          <w:p w14:paraId="0369DC3E" w14:textId="77777777" w:rsidR="006B0BC9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Poisoning by, adverse effect of and underdosing of other synthetic narcotics</w:t>
            </w:r>
          </w:p>
        </w:tc>
      </w:tr>
      <w:tr w:rsidR="006B0BC9" w:rsidRPr="002A5DBF" w14:paraId="720CBB4C" w14:textId="77777777" w:rsidTr="0057403D">
        <w:trPr>
          <w:trHeight w:val="237"/>
        </w:trPr>
        <w:tc>
          <w:tcPr>
            <w:tcW w:w="9180" w:type="dxa"/>
            <w:gridSpan w:val="2"/>
          </w:tcPr>
          <w:p w14:paraId="2C5C754C" w14:textId="77777777" w:rsidR="006B0BC9" w:rsidRPr="002A5DBF" w:rsidRDefault="006B0BC9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 w:rsidRPr="002A5DBF">
              <w:rPr>
                <w:szCs w:val="20"/>
              </w:rPr>
              <w:t xml:space="preserve">Abbreviations: </w:t>
            </w:r>
            <w:r>
              <w:rPr>
                <w:szCs w:val="20"/>
              </w:rPr>
              <w:t>N</w:t>
            </w:r>
            <w:r w:rsidRPr="002A5DBF">
              <w:rPr>
                <w:szCs w:val="20"/>
              </w:rPr>
              <w:t>ormalized names for clinical drugs (</w:t>
            </w:r>
            <w:proofErr w:type="spellStart"/>
            <w:r w:rsidRPr="002A5DBF">
              <w:rPr>
                <w:szCs w:val="20"/>
              </w:rPr>
              <w:t>RxNorm</w:t>
            </w:r>
            <w:proofErr w:type="spellEnd"/>
            <w:r w:rsidRPr="002A5DBF">
              <w:rPr>
                <w:szCs w:val="20"/>
              </w:rPr>
              <w:t>);</w:t>
            </w:r>
            <w:r>
              <w:rPr>
                <w:szCs w:val="20"/>
              </w:rPr>
              <w:t xml:space="preserve"> </w:t>
            </w:r>
            <w:r w:rsidRPr="0000595C">
              <w:rPr>
                <w:szCs w:val="20"/>
              </w:rPr>
              <w:t>Healthcare Common Procedure Coding System</w:t>
            </w:r>
            <w:r>
              <w:rPr>
                <w:szCs w:val="20"/>
              </w:rPr>
              <w:t xml:space="preserve"> (HCPCS); </w:t>
            </w:r>
            <w:r w:rsidRPr="002A5DBF">
              <w:rPr>
                <w:szCs w:val="20"/>
              </w:rPr>
              <w:t>International Classification of Diseases</w:t>
            </w:r>
            <w:r>
              <w:rPr>
                <w:szCs w:val="20"/>
              </w:rPr>
              <w:t>, 10</w:t>
            </w:r>
            <w:r w:rsidRPr="00AC75E6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Edition (ICD-10)</w:t>
            </w:r>
            <w:r w:rsidRPr="002A5DBF">
              <w:rPr>
                <w:szCs w:val="20"/>
              </w:rPr>
              <w:t xml:space="preserve">; </w:t>
            </w:r>
            <w:r>
              <w:rPr>
                <w:szCs w:val="20"/>
              </w:rPr>
              <w:t>ICD-10 Procedure Coding System (ICD-10-PCS)</w:t>
            </w:r>
          </w:p>
        </w:tc>
      </w:tr>
    </w:tbl>
    <w:p w14:paraId="592AAB61" w14:textId="77777777" w:rsidR="000B161A" w:rsidRDefault="000B161A"/>
    <w:sectPr w:rsidR="000B1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C9"/>
    <w:rsid w:val="00054AA5"/>
    <w:rsid w:val="000B161A"/>
    <w:rsid w:val="001A6750"/>
    <w:rsid w:val="00250420"/>
    <w:rsid w:val="0030583B"/>
    <w:rsid w:val="00556D59"/>
    <w:rsid w:val="005B0E78"/>
    <w:rsid w:val="006B0BC9"/>
    <w:rsid w:val="008E3311"/>
    <w:rsid w:val="00967CDD"/>
    <w:rsid w:val="009C5FA4"/>
    <w:rsid w:val="00A05CFB"/>
    <w:rsid w:val="00AE413B"/>
    <w:rsid w:val="00C07862"/>
    <w:rsid w:val="00D63ADF"/>
    <w:rsid w:val="00E5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A116"/>
  <w15:chartTrackingRefBased/>
  <w15:docId w15:val="{556460F2-13FA-4B81-AEC3-E7412083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BC9"/>
  </w:style>
  <w:style w:type="paragraph" w:styleId="Heading1">
    <w:name w:val="heading 1"/>
    <w:basedOn w:val="Normal"/>
    <w:next w:val="Normal"/>
    <w:link w:val="Heading1Char"/>
    <w:uiPriority w:val="9"/>
    <w:qFormat/>
    <w:rsid w:val="00C07862"/>
    <w:pPr>
      <w:keepNext/>
      <w:keepLines/>
      <w:spacing w:before="360" w:after="80" w:line="240" w:lineRule="auto"/>
      <w:outlineLvl w:val="0"/>
    </w:pPr>
    <w:rPr>
      <w:rFonts w:ascii="Calibri" w:eastAsiaTheme="majorEastAsia" w:hAnsi="Calibri" w:cstheme="majorBidi"/>
      <w:kern w:val="0"/>
      <w:sz w:val="32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862"/>
    <w:pPr>
      <w:keepNext/>
      <w:keepLines/>
      <w:spacing w:before="160" w:after="80" w:line="240" w:lineRule="auto"/>
      <w:outlineLvl w:val="1"/>
    </w:pPr>
    <w:rPr>
      <w:rFonts w:ascii="Calibri" w:eastAsiaTheme="majorEastAsia" w:hAnsi="Calibri" w:cstheme="majorBidi"/>
      <w:kern w:val="0"/>
      <w:sz w:val="28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BC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BC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BC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BC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BC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BC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BC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862"/>
    <w:rPr>
      <w:rFonts w:ascii="Calibri" w:eastAsiaTheme="majorEastAsia" w:hAnsi="Calibri" w:cstheme="majorBidi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7862"/>
    <w:rPr>
      <w:rFonts w:ascii="Calibri" w:eastAsiaTheme="majorEastAsia" w:hAnsi="Calibri" w:cstheme="majorBidi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BC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BC9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BC9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BC9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BC9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BC9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BC9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B0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B0BC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BC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6B0BC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B0BC9"/>
    <w:pPr>
      <w:spacing w:before="160" w:line="240" w:lineRule="auto"/>
      <w:jc w:val="center"/>
    </w:pPr>
    <w:rPr>
      <w:rFonts w:ascii="Calibri" w:hAnsi="Calibri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6B0BC9"/>
    <w:rPr>
      <w:rFonts w:ascii="Calibri" w:hAnsi="Calibri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B0BC9"/>
    <w:pPr>
      <w:spacing w:after="120" w:line="240" w:lineRule="auto"/>
      <w:ind w:left="720"/>
      <w:contextualSpacing/>
    </w:pPr>
    <w:rPr>
      <w:rFonts w:ascii="Calibri" w:hAnsi="Calibri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6B0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BC9"/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B0B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0B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B0BC9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Trager</dc:creator>
  <cp:keywords/>
  <dc:description/>
  <cp:lastModifiedBy>Frank M Painter</cp:lastModifiedBy>
  <cp:revision>2</cp:revision>
  <dcterms:created xsi:type="dcterms:W3CDTF">2025-01-30T04:58:00Z</dcterms:created>
  <dcterms:modified xsi:type="dcterms:W3CDTF">2025-01-30T04:58:00Z</dcterms:modified>
</cp:coreProperties>
</file>