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7C5" w:rsidRDefault="00B237C5" w:rsidP="00B237C5">
      <w:pPr>
        <w:rPr>
          <w:rFonts w:ascii="Arial" w:eastAsia="Times New Roman" w:hAnsi="Arial" w:cs="Arial"/>
          <w:b/>
          <w:color w:val="333333"/>
        </w:rPr>
      </w:pPr>
      <w:bookmarkStart w:id="0" w:name="_GoBack"/>
      <w:bookmarkEnd w:id="0"/>
      <w:proofErr w:type="gramStart"/>
      <w:r w:rsidRPr="007B667F">
        <w:rPr>
          <w:rFonts w:ascii="Arial" w:eastAsia="Times New Roman" w:hAnsi="Arial" w:cs="Arial"/>
          <w:b/>
          <w:color w:val="333333"/>
        </w:rPr>
        <w:t>S</w:t>
      </w:r>
      <w:r>
        <w:rPr>
          <w:rFonts w:ascii="Arial" w:eastAsia="Times New Roman" w:hAnsi="Arial" w:cs="Arial"/>
          <w:b/>
          <w:color w:val="333333"/>
        </w:rPr>
        <w:t>3</w:t>
      </w:r>
      <w:r w:rsidRPr="007B667F">
        <w:rPr>
          <w:rFonts w:ascii="Arial" w:eastAsia="Times New Roman" w:hAnsi="Arial" w:cs="Arial"/>
          <w:b/>
          <w:color w:val="333333"/>
        </w:rPr>
        <w:t xml:space="preserve"> Checklist.</w:t>
      </w:r>
      <w:proofErr w:type="gramEnd"/>
      <w:r w:rsidRPr="007B667F">
        <w:rPr>
          <w:rFonts w:ascii="Arial" w:eastAsia="Times New Roman" w:hAnsi="Arial" w:cs="Arial"/>
          <w:b/>
          <w:color w:val="333333"/>
        </w:rPr>
        <w:t xml:space="preserve"> </w:t>
      </w:r>
      <w:proofErr w:type="gramStart"/>
      <w:r>
        <w:rPr>
          <w:rFonts w:ascii="Arial" w:eastAsia="Times New Roman" w:hAnsi="Arial" w:cs="Arial"/>
          <w:b/>
          <w:color w:val="333333"/>
        </w:rPr>
        <w:t>Intervention</w:t>
      </w:r>
      <w:r w:rsidRPr="00DF77FC">
        <w:rPr>
          <w:rFonts w:ascii="Arial" w:eastAsia="Times New Roman" w:hAnsi="Arial" w:cs="Arial"/>
          <w:b/>
          <w:color w:val="333333"/>
        </w:rPr>
        <w:t xml:space="preserve"> description according to the Template for Intervention Description and Replication (</w:t>
      </w:r>
      <w:proofErr w:type="spellStart"/>
      <w:r w:rsidRPr="00DF77FC">
        <w:rPr>
          <w:rFonts w:ascii="Arial" w:eastAsia="Times New Roman" w:hAnsi="Arial" w:cs="Arial"/>
          <w:b/>
          <w:color w:val="333333"/>
        </w:rPr>
        <w:t>TIDieR</w:t>
      </w:r>
      <w:proofErr w:type="spellEnd"/>
      <w:r w:rsidRPr="00DF77FC">
        <w:rPr>
          <w:rFonts w:ascii="Arial" w:eastAsia="Times New Roman" w:hAnsi="Arial" w:cs="Arial"/>
          <w:b/>
          <w:color w:val="333333"/>
        </w:rPr>
        <w:t>) Checklist</w:t>
      </w:r>
      <w:r w:rsidRPr="007B667F">
        <w:rPr>
          <w:rFonts w:ascii="Arial" w:eastAsia="Times New Roman" w:hAnsi="Arial" w:cs="Arial"/>
          <w:b/>
          <w:color w:val="333333"/>
        </w:rPr>
        <w:t>.</w:t>
      </w:r>
      <w:proofErr w:type="gramEnd"/>
    </w:p>
    <w:p w:rsidR="00B237C5" w:rsidRPr="007B667F" w:rsidRDefault="00B237C5" w:rsidP="00B237C5">
      <w:pPr>
        <w:rPr>
          <w:rFonts w:eastAsiaTheme="minorEastAsia" w:cs="Times New Roman"/>
          <w:b/>
          <w:sz w:val="24"/>
          <w:szCs w:val="24"/>
          <w:lang w:val="en-GB"/>
        </w:rPr>
      </w:pPr>
      <w:r w:rsidRPr="00044FAA">
        <w:rPr>
          <w:rFonts w:cs="Times New Roman"/>
          <w:b/>
          <w:sz w:val="24"/>
          <w:szCs w:val="24"/>
        </w:rPr>
        <w:t xml:space="preserve">Darlow B, Stanley J, Dean S, Abbott JH, Garrett S, Wilson W, Mathieson F, Dowell A (2019) </w:t>
      </w:r>
      <w:r w:rsidRPr="00044FAA">
        <w:rPr>
          <w:rFonts w:cs="Times New Roman"/>
          <w:b/>
          <w:i/>
          <w:sz w:val="24"/>
          <w:szCs w:val="24"/>
        </w:rPr>
        <w:t>The Fear Reduction Exercised Early (FREE) approach to management of low back pain in general practice: a pragmatic cluster-randomised controlled trial</w:t>
      </w:r>
      <w:r w:rsidRPr="00044FAA">
        <w:rPr>
          <w:rFonts w:cs="Times New Roman"/>
          <w:b/>
          <w:sz w:val="24"/>
          <w:szCs w:val="24"/>
        </w:rPr>
        <w:t xml:space="preserve"> published in PLOS Medicine</w:t>
      </w:r>
    </w:p>
    <w:p w:rsidR="00FA0FE3" w:rsidRDefault="00FA0FE3"/>
    <w:tbl>
      <w:tblPr>
        <w:tblStyle w:val="TableGrid1"/>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0"/>
        <w:gridCol w:w="8076"/>
      </w:tblGrid>
      <w:tr w:rsidR="00FA0FE3" w:rsidRPr="006A2095" w:rsidTr="00D1231E">
        <w:trPr>
          <w:trHeight w:val="383"/>
        </w:trPr>
        <w:tc>
          <w:tcPr>
            <w:tcW w:w="9356" w:type="dxa"/>
            <w:gridSpan w:val="2"/>
            <w:tcBorders>
              <w:top w:val="single" w:sz="4" w:space="0" w:color="auto"/>
              <w:bottom w:val="nil"/>
              <w:right w:val="nil"/>
            </w:tcBorders>
            <w:shd w:val="clear" w:color="auto" w:fill="C6D9F1"/>
          </w:tcPr>
          <w:p w:rsidR="00FA0FE3" w:rsidRPr="006A2095" w:rsidRDefault="00FA0FE3" w:rsidP="00D1231E">
            <w:pPr>
              <w:spacing w:after="200" w:line="360" w:lineRule="auto"/>
              <w:rPr>
                <w:rFonts w:ascii="Arial" w:eastAsia="Calibri" w:hAnsi="Arial" w:cs="Arial"/>
                <w:b/>
                <w:bCs/>
              </w:rPr>
            </w:pPr>
            <w:r>
              <w:rPr>
                <w:rFonts w:ascii="Arial" w:eastAsia="Calibri" w:hAnsi="Arial" w:cs="Arial"/>
                <w:b/>
                <w:bCs/>
              </w:rPr>
              <w:t>S3. Intervention description according to t</w:t>
            </w:r>
            <w:r w:rsidRPr="006A2095">
              <w:rPr>
                <w:rFonts w:ascii="Arial" w:eastAsia="Calibri" w:hAnsi="Arial" w:cs="Arial"/>
                <w:b/>
                <w:bCs/>
              </w:rPr>
              <w:t xml:space="preserve">he </w:t>
            </w:r>
            <w:proofErr w:type="spellStart"/>
            <w:r w:rsidRPr="006A2095">
              <w:rPr>
                <w:rFonts w:ascii="Arial" w:eastAsia="Calibri" w:hAnsi="Arial" w:cs="Arial"/>
                <w:b/>
                <w:bCs/>
              </w:rPr>
              <w:t>TIDieR</w:t>
            </w:r>
            <w:proofErr w:type="spellEnd"/>
            <w:r w:rsidRPr="006A2095">
              <w:rPr>
                <w:rFonts w:ascii="Arial" w:eastAsia="Calibri" w:hAnsi="Arial" w:cs="Arial"/>
                <w:b/>
                <w:bCs/>
              </w:rPr>
              <w:t xml:space="preserve"> (Template for Intervention Description and Replication) Checklist</w:t>
            </w:r>
          </w:p>
        </w:tc>
      </w:tr>
      <w:tr w:rsidR="00FA0FE3" w:rsidRPr="006A2095" w:rsidTr="00D1231E">
        <w:trPr>
          <w:trHeight w:val="383"/>
        </w:trPr>
        <w:tc>
          <w:tcPr>
            <w:tcW w:w="1280" w:type="dxa"/>
            <w:vMerge w:val="restart"/>
            <w:tcBorders>
              <w:top w:val="single" w:sz="4" w:space="0" w:color="auto"/>
              <w:bottom w:val="nil"/>
              <w:right w:val="nil"/>
            </w:tcBorders>
            <w:shd w:val="clear" w:color="auto" w:fill="C6D9F1"/>
          </w:tcPr>
          <w:p w:rsidR="00FA0FE3" w:rsidRPr="006A2095" w:rsidRDefault="00FA0FE3" w:rsidP="00D1231E">
            <w:pPr>
              <w:spacing w:after="200" w:line="360" w:lineRule="auto"/>
              <w:rPr>
                <w:rFonts w:ascii="Arial" w:eastAsia="Calibri" w:hAnsi="Arial" w:cs="Arial"/>
                <w:b/>
                <w:bCs/>
                <w:sz w:val="20"/>
                <w:szCs w:val="20"/>
              </w:rPr>
            </w:pPr>
            <w:r w:rsidRPr="006A2095">
              <w:rPr>
                <w:rFonts w:ascii="Arial" w:eastAsia="Calibri" w:hAnsi="Arial" w:cs="Arial"/>
                <w:b/>
                <w:bCs/>
                <w:sz w:val="20"/>
                <w:szCs w:val="20"/>
              </w:rPr>
              <w:t>Item number</w:t>
            </w:r>
          </w:p>
        </w:tc>
        <w:tc>
          <w:tcPr>
            <w:tcW w:w="8076" w:type="dxa"/>
            <w:tcBorders>
              <w:top w:val="single" w:sz="4" w:space="0" w:color="auto"/>
              <w:left w:val="nil"/>
              <w:bottom w:val="nil"/>
              <w:right w:val="nil"/>
            </w:tcBorders>
            <w:shd w:val="clear" w:color="auto" w:fill="C6D9F1"/>
          </w:tcPr>
          <w:p w:rsidR="00FA0FE3" w:rsidRPr="006A2095" w:rsidRDefault="00FA0FE3" w:rsidP="00D1231E">
            <w:pPr>
              <w:spacing w:after="200" w:line="360" w:lineRule="auto"/>
              <w:rPr>
                <w:rFonts w:ascii="Arial" w:eastAsia="Calibri" w:hAnsi="Arial" w:cs="Arial"/>
                <w:b/>
                <w:bCs/>
                <w:sz w:val="24"/>
                <w:szCs w:val="24"/>
              </w:rPr>
            </w:pPr>
            <w:r w:rsidRPr="006A2095">
              <w:rPr>
                <w:rFonts w:ascii="Arial" w:eastAsia="Calibri" w:hAnsi="Arial" w:cs="Arial"/>
                <w:b/>
                <w:bCs/>
              </w:rPr>
              <w:t xml:space="preserve">Item </w:t>
            </w:r>
          </w:p>
        </w:tc>
      </w:tr>
      <w:tr w:rsidR="00FA0FE3" w:rsidRPr="006A2095" w:rsidTr="00D1231E">
        <w:tc>
          <w:tcPr>
            <w:tcW w:w="1280" w:type="dxa"/>
            <w:vMerge/>
            <w:tcBorders>
              <w:top w:val="nil"/>
              <w:bottom w:val="single" w:sz="4" w:space="0" w:color="auto"/>
              <w:right w:val="nil"/>
            </w:tcBorders>
            <w:shd w:val="clear" w:color="auto" w:fill="C6D9F1"/>
          </w:tcPr>
          <w:p w:rsidR="00FA0FE3" w:rsidRPr="006A2095" w:rsidRDefault="00FA0FE3" w:rsidP="00D1231E">
            <w:pPr>
              <w:spacing w:after="200" w:line="360" w:lineRule="auto"/>
              <w:rPr>
                <w:rFonts w:ascii="Arial" w:eastAsia="Calibri" w:hAnsi="Arial" w:cs="Arial"/>
              </w:rPr>
            </w:pPr>
          </w:p>
        </w:tc>
        <w:tc>
          <w:tcPr>
            <w:tcW w:w="8076" w:type="dxa"/>
            <w:tcBorders>
              <w:top w:val="nil"/>
              <w:left w:val="nil"/>
              <w:bottom w:val="single" w:sz="4" w:space="0" w:color="auto"/>
              <w:right w:val="nil"/>
            </w:tcBorders>
            <w:shd w:val="clear" w:color="auto" w:fill="C6D9F1"/>
          </w:tcPr>
          <w:p w:rsidR="00FA0FE3" w:rsidRPr="006A2095" w:rsidRDefault="00FA0FE3" w:rsidP="00D1231E">
            <w:pPr>
              <w:spacing w:after="200" w:line="360" w:lineRule="auto"/>
              <w:rPr>
                <w:rFonts w:ascii="Arial" w:eastAsia="Calibri" w:hAnsi="Arial" w:cs="Arial"/>
              </w:rPr>
            </w:pPr>
          </w:p>
        </w:tc>
      </w:tr>
      <w:tr w:rsidR="00FA0FE3" w:rsidRPr="006A2095" w:rsidTr="00D1231E">
        <w:tc>
          <w:tcPr>
            <w:tcW w:w="1280" w:type="dxa"/>
            <w:tcBorders>
              <w:top w:val="single" w:sz="4" w:space="0" w:color="auto"/>
              <w:right w:val="nil"/>
            </w:tcBorders>
          </w:tcPr>
          <w:p w:rsidR="00FA0FE3" w:rsidRPr="006A2095" w:rsidRDefault="00FA0FE3" w:rsidP="00D1231E">
            <w:pPr>
              <w:spacing w:after="200" w:line="360" w:lineRule="auto"/>
              <w:rPr>
                <w:rFonts w:ascii="Arial" w:eastAsia="Calibri" w:hAnsi="Arial" w:cs="Arial"/>
              </w:rPr>
            </w:pPr>
          </w:p>
        </w:tc>
        <w:tc>
          <w:tcPr>
            <w:tcW w:w="8076" w:type="dxa"/>
            <w:tcBorders>
              <w:top w:val="single" w:sz="4" w:space="0" w:color="auto"/>
              <w:left w:val="nil"/>
              <w:right w:val="nil"/>
            </w:tcBorders>
          </w:tcPr>
          <w:p w:rsidR="00FA0FE3" w:rsidRPr="006A2095" w:rsidRDefault="00FA0FE3" w:rsidP="00D1231E">
            <w:pPr>
              <w:spacing w:before="240" w:after="200" w:line="276" w:lineRule="auto"/>
              <w:rPr>
                <w:rFonts w:ascii="Arial" w:eastAsia="Calibri" w:hAnsi="Arial" w:cs="Arial"/>
                <w:b/>
              </w:rPr>
            </w:pPr>
            <w:r w:rsidRPr="006A2095">
              <w:rPr>
                <w:rFonts w:ascii="Arial" w:eastAsia="Calibri" w:hAnsi="Arial" w:cs="Arial"/>
                <w:b/>
              </w:rPr>
              <w:t>BRIEF NAME</w:t>
            </w:r>
          </w:p>
        </w:tc>
      </w:tr>
      <w:tr w:rsidR="00FA0FE3" w:rsidRPr="006A2095" w:rsidTr="00D1231E">
        <w:trPr>
          <w:trHeight w:val="377"/>
        </w:trPr>
        <w:tc>
          <w:tcPr>
            <w:tcW w:w="1280" w:type="dxa"/>
            <w:tcBorders>
              <w:right w:val="nil"/>
            </w:tcBorders>
          </w:tcPr>
          <w:p w:rsidR="00FA0FE3" w:rsidRPr="006A2095" w:rsidRDefault="00FA0FE3" w:rsidP="00D1231E">
            <w:pPr>
              <w:spacing w:after="200" w:line="360" w:lineRule="auto"/>
              <w:rPr>
                <w:rFonts w:ascii="Arial" w:eastAsia="Calibri" w:hAnsi="Arial" w:cs="Arial"/>
                <w:b/>
                <w:bCs/>
              </w:rPr>
            </w:pPr>
            <w:r w:rsidRPr="006A2095">
              <w:rPr>
                <w:rFonts w:ascii="Arial" w:eastAsia="Calibri" w:hAnsi="Arial" w:cs="Arial"/>
                <w:b/>
                <w:bCs/>
              </w:rPr>
              <w:t>1.</w:t>
            </w:r>
          </w:p>
        </w:tc>
        <w:tc>
          <w:tcPr>
            <w:tcW w:w="8076" w:type="dxa"/>
            <w:tcBorders>
              <w:left w:val="nil"/>
              <w:right w:val="nil"/>
            </w:tcBorders>
          </w:tcPr>
          <w:p w:rsidR="00FA0FE3" w:rsidRPr="006A2095" w:rsidRDefault="00FA0FE3" w:rsidP="00D1231E">
            <w:pPr>
              <w:spacing w:after="200" w:line="360" w:lineRule="auto"/>
              <w:ind w:right="175"/>
              <w:rPr>
                <w:rFonts w:ascii="Arial" w:eastAsia="Calibri" w:hAnsi="Arial" w:cs="Arial"/>
              </w:rPr>
            </w:pPr>
            <w:r w:rsidRPr="00FE37BA">
              <w:rPr>
                <w:rFonts w:ascii="Arial" w:eastAsia="Calibri" w:hAnsi="Arial" w:cs="Arial"/>
                <w:bCs/>
                <w:iCs/>
                <w:lang w:eastAsia="zh-CN"/>
              </w:rPr>
              <w:t>FREE (Fear Reduction Exercised Early) approach to low back pain</w:t>
            </w:r>
            <w:r w:rsidRPr="006A2095">
              <w:rPr>
                <w:rFonts w:ascii="Arial" w:eastAsia="Calibri" w:hAnsi="Arial" w:cs="Arial"/>
                <w:bCs/>
                <w:iCs/>
                <w:lang w:eastAsia="zh-CN"/>
              </w:rPr>
              <w:t>.</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rPr>
            </w:pPr>
          </w:p>
        </w:tc>
        <w:tc>
          <w:tcPr>
            <w:tcW w:w="8076" w:type="dxa"/>
            <w:tcBorders>
              <w:left w:val="nil"/>
              <w:right w:val="nil"/>
            </w:tcBorders>
          </w:tcPr>
          <w:p w:rsidR="00FA0FE3" w:rsidRPr="006A2095" w:rsidRDefault="00FA0FE3" w:rsidP="00D1231E">
            <w:pPr>
              <w:spacing w:after="200" w:line="360" w:lineRule="auto"/>
              <w:rPr>
                <w:rFonts w:ascii="Arial" w:eastAsia="Calibri" w:hAnsi="Arial" w:cs="Arial"/>
                <w:b/>
              </w:rPr>
            </w:pPr>
            <w:r w:rsidRPr="006A2095">
              <w:rPr>
                <w:rFonts w:ascii="Arial" w:eastAsia="Calibri" w:hAnsi="Arial" w:cs="Arial"/>
                <w:b/>
              </w:rPr>
              <w:t>WHY</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b/>
                <w:bCs/>
              </w:rPr>
            </w:pPr>
            <w:r w:rsidRPr="006A2095">
              <w:rPr>
                <w:rFonts w:ascii="Arial" w:eastAsia="Calibri" w:hAnsi="Arial" w:cs="Arial"/>
                <w:b/>
                <w:bCs/>
              </w:rPr>
              <w:t>2.</w:t>
            </w:r>
          </w:p>
        </w:tc>
        <w:tc>
          <w:tcPr>
            <w:tcW w:w="8076" w:type="dxa"/>
            <w:tcBorders>
              <w:left w:val="nil"/>
              <w:right w:val="nil"/>
            </w:tcBorders>
          </w:tcPr>
          <w:p w:rsidR="00FA0FE3" w:rsidRPr="00FE37BA" w:rsidRDefault="00FA0FE3" w:rsidP="00D1231E">
            <w:pPr>
              <w:spacing w:after="200" w:line="360" w:lineRule="auto"/>
              <w:rPr>
                <w:rFonts w:ascii="Arial" w:eastAsia="Calibri" w:hAnsi="Arial" w:cs="Arial"/>
                <w:bCs/>
                <w:iCs/>
                <w:lang w:val="en-GB"/>
              </w:rPr>
            </w:pPr>
            <w:r w:rsidRPr="00FE37BA">
              <w:rPr>
                <w:rFonts w:ascii="Arial" w:eastAsia="Calibri" w:hAnsi="Arial" w:cs="Arial"/>
                <w:bCs/>
                <w:iCs/>
                <w:lang w:val="en-GB"/>
              </w:rPr>
              <w:t>The FREE approach aligns with low back pain guidelines by empowering primary care management of low back pain, enabling general practitioners to provide evidence-based education and advice, encouraging activity and work participation, integrating a biopsychosocial approach, and discouraging interventions with low beneficial value.</w:t>
            </w:r>
          </w:p>
          <w:p w:rsidR="00FA0FE3" w:rsidRPr="00FE37BA" w:rsidRDefault="00FA0FE3" w:rsidP="00D1231E">
            <w:pPr>
              <w:spacing w:after="200" w:line="360" w:lineRule="auto"/>
              <w:contextualSpacing/>
              <w:rPr>
                <w:rFonts w:ascii="Arial" w:eastAsia="Calibri" w:hAnsi="Arial" w:cs="Arial"/>
                <w:bCs/>
                <w:iCs/>
                <w:lang w:val="en-US"/>
              </w:rPr>
            </w:pPr>
            <w:r w:rsidRPr="00FE37BA">
              <w:rPr>
                <w:rFonts w:ascii="Arial" w:eastAsia="Calibri" w:hAnsi="Arial" w:cs="Arial"/>
                <w:bCs/>
                <w:iCs/>
                <w:lang w:val="en-US"/>
              </w:rPr>
              <w:t>G</w:t>
            </w:r>
            <w:proofErr w:type="spellStart"/>
            <w:r w:rsidRPr="00FE37BA">
              <w:rPr>
                <w:rFonts w:ascii="Arial" w:eastAsia="Calibri" w:hAnsi="Arial" w:cs="Arial"/>
                <w:bCs/>
                <w:iCs/>
                <w:lang w:val="en-GB"/>
              </w:rPr>
              <w:t>eneral</w:t>
            </w:r>
            <w:proofErr w:type="spellEnd"/>
            <w:r w:rsidRPr="00FE37BA">
              <w:rPr>
                <w:rFonts w:ascii="Arial" w:eastAsia="Calibri" w:hAnsi="Arial" w:cs="Arial"/>
                <w:bCs/>
                <w:iCs/>
                <w:lang w:val="en-GB"/>
              </w:rPr>
              <w:t xml:space="preserve"> practitioner</w:t>
            </w:r>
            <w:r w:rsidRPr="00FE37BA">
              <w:rPr>
                <w:rFonts w:ascii="Arial" w:eastAsia="Calibri" w:hAnsi="Arial" w:cs="Arial"/>
                <w:bCs/>
                <w:iCs/>
                <w:lang w:val="en-US"/>
              </w:rPr>
              <w:t xml:space="preserve"> behaviour change goals:</w:t>
            </w:r>
          </w:p>
          <w:p w:rsidR="00FA0FE3" w:rsidRPr="00FE37BA" w:rsidRDefault="00FA0FE3" w:rsidP="00D1231E">
            <w:pPr>
              <w:numPr>
                <w:ilvl w:val="0"/>
                <w:numId w:val="1"/>
              </w:numPr>
              <w:spacing w:after="200" w:line="360" w:lineRule="auto"/>
              <w:contextualSpacing/>
              <w:rPr>
                <w:rFonts w:ascii="Arial" w:eastAsia="Calibri" w:hAnsi="Arial" w:cs="Arial"/>
                <w:bCs/>
                <w:iCs/>
                <w:lang w:val="en-US"/>
              </w:rPr>
            </w:pPr>
            <w:r w:rsidRPr="00FE37BA">
              <w:rPr>
                <w:rFonts w:ascii="Arial" w:eastAsia="Calibri" w:hAnsi="Arial" w:cs="Arial"/>
                <w:bCs/>
                <w:iCs/>
                <w:lang w:val="en-US"/>
              </w:rPr>
              <w:t>Increased confidence to manage low back pain</w:t>
            </w:r>
          </w:p>
          <w:p w:rsidR="00FA0FE3" w:rsidRPr="00FE37BA" w:rsidRDefault="00FA0FE3" w:rsidP="00D1231E">
            <w:pPr>
              <w:numPr>
                <w:ilvl w:val="0"/>
                <w:numId w:val="1"/>
              </w:numPr>
              <w:spacing w:after="200" w:line="360" w:lineRule="auto"/>
              <w:contextualSpacing/>
              <w:rPr>
                <w:rFonts w:ascii="Arial" w:eastAsia="Calibri" w:hAnsi="Arial" w:cs="Arial"/>
                <w:bCs/>
                <w:iCs/>
                <w:lang w:val="en-US"/>
              </w:rPr>
            </w:pPr>
            <w:r w:rsidRPr="00FE37BA">
              <w:rPr>
                <w:rFonts w:ascii="Arial" w:eastAsia="Calibri" w:hAnsi="Arial" w:cs="Arial"/>
                <w:bCs/>
                <w:iCs/>
                <w:lang w:val="en-US"/>
              </w:rPr>
              <w:t>Reduced anxiety related to pathology screening</w:t>
            </w:r>
          </w:p>
          <w:p w:rsidR="00FA0FE3" w:rsidRPr="00FE37BA" w:rsidRDefault="00FA0FE3" w:rsidP="00D1231E">
            <w:pPr>
              <w:numPr>
                <w:ilvl w:val="0"/>
                <w:numId w:val="1"/>
              </w:numPr>
              <w:spacing w:after="200" w:line="360" w:lineRule="auto"/>
              <w:contextualSpacing/>
              <w:rPr>
                <w:rFonts w:ascii="Arial" w:eastAsia="Calibri" w:hAnsi="Arial" w:cs="Arial"/>
                <w:bCs/>
                <w:iCs/>
                <w:lang w:val="en-US"/>
              </w:rPr>
            </w:pPr>
            <w:r w:rsidRPr="00FE37BA">
              <w:rPr>
                <w:rFonts w:ascii="Arial" w:eastAsia="Calibri" w:hAnsi="Arial" w:cs="Arial"/>
                <w:bCs/>
                <w:iCs/>
                <w:lang w:val="en-US"/>
              </w:rPr>
              <w:t>Increased understanding of the impact of psychosocial factors and improved ability to explore and manage these</w:t>
            </w:r>
          </w:p>
          <w:p w:rsidR="00FA0FE3" w:rsidRPr="00FE37BA" w:rsidRDefault="00FA0FE3" w:rsidP="00D1231E">
            <w:pPr>
              <w:numPr>
                <w:ilvl w:val="0"/>
                <w:numId w:val="1"/>
              </w:numPr>
              <w:spacing w:after="200" w:line="360" w:lineRule="auto"/>
              <w:ind w:left="714" w:hanging="357"/>
              <w:rPr>
                <w:rFonts w:ascii="Arial" w:eastAsia="Calibri" w:hAnsi="Arial" w:cs="Arial"/>
                <w:bCs/>
                <w:iCs/>
                <w:lang w:val="en-US"/>
              </w:rPr>
            </w:pPr>
            <w:r w:rsidRPr="00FE37BA">
              <w:rPr>
                <w:rFonts w:ascii="Arial" w:eastAsia="Calibri" w:hAnsi="Arial" w:cs="Arial"/>
                <w:bCs/>
                <w:iCs/>
                <w:lang w:val="en-US"/>
              </w:rPr>
              <w:t>Increased confidence that movement is safe and improved ability to communicate this to patients</w:t>
            </w:r>
          </w:p>
          <w:p w:rsidR="00FA0FE3" w:rsidRPr="00FE37BA" w:rsidRDefault="00FA0FE3" w:rsidP="00D1231E">
            <w:pPr>
              <w:spacing w:after="200" w:line="360" w:lineRule="auto"/>
              <w:contextualSpacing/>
              <w:rPr>
                <w:rFonts w:ascii="Arial" w:eastAsia="Calibri" w:hAnsi="Arial" w:cs="Arial"/>
                <w:bCs/>
                <w:iCs/>
                <w:lang w:val="en-US"/>
              </w:rPr>
            </w:pPr>
            <w:r w:rsidRPr="00FE37BA">
              <w:rPr>
                <w:rFonts w:ascii="Arial" w:eastAsia="Calibri" w:hAnsi="Arial" w:cs="Arial"/>
                <w:bCs/>
                <w:iCs/>
                <w:lang w:val="en-US"/>
              </w:rPr>
              <w:t>Patient behaviour change goals:</w:t>
            </w:r>
          </w:p>
          <w:p w:rsidR="00FA0FE3" w:rsidRPr="00FE37BA" w:rsidRDefault="00FA0FE3" w:rsidP="00D1231E">
            <w:pPr>
              <w:numPr>
                <w:ilvl w:val="0"/>
                <w:numId w:val="2"/>
              </w:numPr>
              <w:spacing w:after="200" w:line="360" w:lineRule="auto"/>
              <w:contextualSpacing/>
              <w:rPr>
                <w:rFonts w:ascii="Arial" w:eastAsia="Calibri" w:hAnsi="Arial" w:cs="Arial"/>
                <w:bCs/>
                <w:iCs/>
                <w:lang w:val="en-US"/>
              </w:rPr>
            </w:pPr>
            <w:r w:rsidRPr="00FE37BA">
              <w:rPr>
                <w:rFonts w:ascii="Arial" w:eastAsia="Calibri" w:hAnsi="Arial" w:cs="Arial"/>
                <w:bCs/>
                <w:iCs/>
                <w:lang w:val="en-US"/>
              </w:rPr>
              <w:t>Reduced threat associated with low back pain</w:t>
            </w:r>
          </w:p>
          <w:p w:rsidR="00FA0FE3" w:rsidRPr="00FE37BA" w:rsidRDefault="00FA0FE3" w:rsidP="00D1231E">
            <w:pPr>
              <w:numPr>
                <w:ilvl w:val="0"/>
                <w:numId w:val="2"/>
              </w:numPr>
              <w:spacing w:after="200" w:line="360" w:lineRule="auto"/>
              <w:contextualSpacing/>
              <w:rPr>
                <w:rFonts w:ascii="Arial" w:eastAsia="Calibri" w:hAnsi="Arial" w:cs="Arial"/>
                <w:bCs/>
                <w:iCs/>
                <w:lang w:val="en-US"/>
              </w:rPr>
            </w:pPr>
            <w:r w:rsidRPr="00FE37BA">
              <w:rPr>
                <w:rFonts w:ascii="Arial" w:eastAsia="Calibri" w:hAnsi="Arial" w:cs="Arial"/>
                <w:bCs/>
                <w:iCs/>
                <w:lang w:val="en-US"/>
              </w:rPr>
              <w:t>Decreased fear of movement</w:t>
            </w:r>
          </w:p>
          <w:p w:rsidR="00FA0FE3" w:rsidRPr="00FE37BA" w:rsidRDefault="00FA0FE3" w:rsidP="00D1231E">
            <w:pPr>
              <w:numPr>
                <w:ilvl w:val="0"/>
                <w:numId w:val="2"/>
              </w:numPr>
              <w:spacing w:after="200" w:line="360" w:lineRule="auto"/>
              <w:contextualSpacing/>
              <w:rPr>
                <w:rFonts w:ascii="Arial" w:eastAsia="Calibri" w:hAnsi="Arial" w:cs="Arial"/>
                <w:bCs/>
                <w:iCs/>
                <w:lang w:val="en-US"/>
              </w:rPr>
            </w:pPr>
            <w:r w:rsidRPr="00FE37BA">
              <w:rPr>
                <w:rFonts w:ascii="Arial" w:eastAsia="Calibri" w:hAnsi="Arial" w:cs="Arial"/>
                <w:bCs/>
                <w:iCs/>
                <w:lang w:val="en-US"/>
              </w:rPr>
              <w:t>Decreased perceived need to protect the back</w:t>
            </w:r>
          </w:p>
          <w:p w:rsidR="00FA0FE3" w:rsidRPr="00FE37BA" w:rsidRDefault="00FA0FE3" w:rsidP="00D1231E">
            <w:pPr>
              <w:numPr>
                <w:ilvl w:val="0"/>
                <w:numId w:val="2"/>
              </w:numPr>
              <w:spacing w:after="200" w:line="360" w:lineRule="auto"/>
              <w:contextualSpacing/>
              <w:rPr>
                <w:rFonts w:ascii="Arial" w:eastAsia="Calibri" w:hAnsi="Arial" w:cs="Arial"/>
                <w:bCs/>
                <w:iCs/>
                <w:lang w:val="en-US"/>
              </w:rPr>
            </w:pPr>
            <w:r w:rsidRPr="00FE37BA">
              <w:rPr>
                <w:rFonts w:ascii="Arial" w:eastAsia="Calibri" w:hAnsi="Arial" w:cs="Arial"/>
                <w:bCs/>
                <w:iCs/>
                <w:lang w:val="en-US"/>
              </w:rPr>
              <w:lastRenderedPageBreak/>
              <w:t>Improved outcome expectations</w:t>
            </w:r>
          </w:p>
          <w:p w:rsidR="00FA0FE3" w:rsidRPr="00FE37BA" w:rsidRDefault="00FA0FE3" w:rsidP="00D1231E">
            <w:pPr>
              <w:numPr>
                <w:ilvl w:val="0"/>
                <w:numId w:val="2"/>
              </w:numPr>
              <w:spacing w:after="200"/>
              <w:ind w:left="714" w:hanging="357"/>
              <w:rPr>
                <w:rFonts w:ascii="Arial" w:eastAsia="Calibri" w:hAnsi="Arial" w:cs="Arial"/>
                <w:bCs/>
                <w:iCs/>
                <w:lang w:val="en-US"/>
              </w:rPr>
            </w:pPr>
            <w:r w:rsidRPr="00FE37BA">
              <w:rPr>
                <w:rFonts w:ascii="Arial" w:eastAsia="Calibri" w:hAnsi="Arial" w:cs="Arial"/>
                <w:bCs/>
                <w:iCs/>
                <w:lang w:val="en-US"/>
              </w:rPr>
              <w:t>Increased activity and work participation</w:t>
            </w:r>
          </w:p>
          <w:p w:rsidR="00FA0FE3" w:rsidRPr="006A2095" w:rsidRDefault="00FA0FE3" w:rsidP="00D1231E">
            <w:pPr>
              <w:spacing w:after="200" w:line="360" w:lineRule="auto"/>
              <w:rPr>
                <w:rFonts w:ascii="Arial" w:eastAsia="Calibri" w:hAnsi="Arial" w:cs="Arial"/>
              </w:rPr>
            </w:pPr>
            <w:r w:rsidRPr="00FE37BA">
              <w:rPr>
                <w:rFonts w:ascii="Arial" w:eastAsia="Calibri" w:hAnsi="Arial" w:cs="Arial"/>
                <w:bCs/>
                <w:iCs/>
                <w:lang w:val="en-US"/>
              </w:rPr>
              <w:t>Full description of included behaviour change techniques is available with the published protocol (</w:t>
            </w:r>
            <w:hyperlink r:id="rId6" w:history="1">
              <w:r w:rsidRPr="00FE37BA">
                <w:rPr>
                  <w:rStyle w:val="Hyperlink"/>
                  <w:rFonts w:ascii="Arial" w:eastAsia="Calibri" w:hAnsi="Arial" w:cs="Arial"/>
                  <w:bCs/>
                  <w:iCs/>
                  <w:lang w:val="en-US"/>
                </w:rPr>
                <w:t>https://trialsjournal.biomedcentral.com/articles/10.1186/s13063-017-2225-8</w:t>
              </w:r>
            </w:hyperlink>
            <w:r w:rsidRPr="00FE37BA">
              <w:rPr>
                <w:rFonts w:ascii="Arial" w:eastAsia="Calibri" w:hAnsi="Arial" w:cs="Arial"/>
                <w:bCs/>
                <w:iCs/>
                <w:lang w:val="en-US"/>
              </w:rPr>
              <w:t>).</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rPr>
            </w:pPr>
          </w:p>
        </w:tc>
        <w:tc>
          <w:tcPr>
            <w:tcW w:w="8076" w:type="dxa"/>
            <w:tcBorders>
              <w:left w:val="nil"/>
              <w:right w:val="nil"/>
            </w:tcBorders>
          </w:tcPr>
          <w:p w:rsidR="00FA0FE3" w:rsidRPr="006A2095" w:rsidRDefault="00FA0FE3" w:rsidP="00D1231E">
            <w:pPr>
              <w:spacing w:after="200" w:line="360" w:lineRule="auto"/>
              <w:rPr>
                <w:rFonts w:ascii="Arial" w:eastAsia="Calibri" w:hAnsi="Arial" w:cs="Arial"/>
                <w:b/>
              </w:rPr>
            </w:pPr>
            <w:r w:rsidRPr="006A2095">
              <w:rPr>
                <w:rFonts w:ascii="Arial" w:eastAsia="Calibri" w:hAnsi="Arial" w:cs="Arial"/>
                <w:b/>
              </w:rPr>
              <w:t>WHAT</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b/>
                <w:bCs/>
              </w:rPr>
            </w:pPr>
            <w:r w:rsidRPr="006A2095">
              <w:rPr>
                <w:rFonts w:ascii="Arial" w:eastAsia="Calibri" w:hAnsi="Arial" w:cs="Arial"/>
                <w:b/>
                <w:bCs/>
              </w:rPr>
              <w:t>3.</w:t>
            </w:r>
          </w:p>
        </w:tc>
        <w:tc>
          <w:tcPr>
            <w:tcW w:w="8076" w:type="dxa"/>
            <w:tcBorders>
              <w:left w:val="nil"/>
              <w:right w:val="nil"/>
            </w:tcBorders>
          </w:tcPr>
          <w:p w:rsidR="00FA0FE3" w:rsidRDefault="00FA0FE3" w:rsidP="00D1231E">
            <w:pPr>
              <w:spacing w:line="360" w:lineRule="auto"/>
              <w:rPr>
                <w:rFonts w:ascii="Arial" w:eastAsia="Calibri" w:hAnsi="Arial" w:cs="Arial"/>
                <w:bCs/>
                <w:iCs/>
              </w:rPr>
            </w:pPr>
            <w:r w:rsidRPr="006A2095">
              <w:rPr>
                <w:rFonts w:ascii="Arial" w:eastAsia="Calibri" w:hAnsi="Arial" w:cs="Arial"/>
                <w:bCs/>
                <w:iCs/>
              </w:rPr>
              <w:t xml:space="preserve">Materials: </w:t>
            </w:r>
          </w:p>
          <w:p w:rsidR="00FA0FE3" w:rsidRPr="00FE37BA" w:rsidRDefault="00FA0FE3" w:rsidP="00D1231E">
            <w:pPr>
              <w:numPr>
                <w:ilvl w:val="0"/>
                <w:numId w:val="3"/>
              </w:numPr>
              <w:spacing w:after="200" w:line="360" w:lineRule="auto"/>
              <w:ind w:left="714" w:hanging="357"/>
              <w:contextualSpacing/>
              <w:rPr>
                <w:rFonts w:ascii="Arial" w:eastAsia="Calibri" w:hAnsi="Arial" w:cs="Arial"/>
                <w:bCs/>
                <w:iCs/>
                <w:lang w:val="en-US"/>
              </w:rPr>
            </w:pPr>
            <w:r w:rsidRPr="00FE37BA">
              <w:rPr>
                <w:rFonts w:ascii="Arial" w:eastAsia="Calibri" w:hAnsi="Arial" w:cs="Arial"/>
                <w:bCs/>
                <w:iCs/>
                <w:lang w:val="en-US"/>
              </w:rPr>
              <w:t>Pre-workshop reading</w:t>
            </w:r>
          </w:p>
          <w:p w:rsidR="00FA0FE3" w:rsidRPr="00FE37BA" w:rsidRDefault="00FA0FE3" w:rsidP="00D1231E">
            <w:pPr>
              <w:numPr>
                <w:ilvl w:val="0"/>
                <w:numId w:val="3"/>
              </w:numPr>
              <w:spacing w:after="200" w:line="360" w:lineRule="auto"/>
              <w:ind w:left="714" w:hanging="357"/>
              <w:contextualSpacing/>
              <w:rPr>
                <w:rFonts w:ascii="Arial" w:eastAsia="Calibri" w:hAnsi="Arial" w:cs="Arial"/>
                <w:bCs/>
                <w:iCs/>
                <w:lang w:val="en-US"/>
              </w:rPr>
            </w:pPr>
            <w:r w:rsidRPr="00FE37BA">
              <w:rPr>
                <w:rFonts w:ascii="Arial" w:eastAsia="Calibri" w:hAnsi="Arial" w:cs="Arial"/>
                <w:bCs/>
                <w:iCs/>
                <w:lang w:val="en-US"/>
              </w:rPr>
              <w:t>GP training manual</w:t>
            </w:r>
          </w:p>
          <w:p w:rsidR="00FA0FE3" w:rsidRPr="00FE37BA" w:rsidRDefault="00FA0FE3" w:rsidP="00D1231E">
            <w:pPr>
              <w:numPr>
                <w:ilvl w:val="0"/>
                <w:numId w:val="3"/>
              </w:numPr>
              <w:spacing w:after="200" w:line="360" w:lineRule="auto"/>
              <w:ind w:left="714" w:hanging="357"/>
              <w:contextualSpacing/>
              <w:rPr>
                <w:rFonts w:ascii="Arial" w:eastAsia="Calibri" w:hAnsi="Arial" w:cs="Arial"/>
                <w:bCs/>
                <w:iCs/>
                <w:lang w:val="en-US"/>
              </w:rPr>
            </w:pPr>
            <w:r w:rsidRPr="00FE37BA">
              <w:rPr>
                <w:rFonts w:ascii="Arial" w:eastAsia="Calibri" w:hAnsi="Arial" w:cs="Arial"/>
                <w:bCs/>
                <w:iCs/>
                <w:lang w:val="en-US"/>
              </w:rPr>
              <w:t>Electronic medical record tool</w:t>
            </w:r>
          </w:p>
          <w:p w:rsidR="00FA0FE3" w:rsidRPr="00FE37BA" w:rsidRDefault="00FA0FE3" w:rsidP="00D1231E">
            <w:pPr>
              <w:numPr>
                <w:ilvl w:val="0"/>
                <w:numId w:val="3"/>
              </w:numPr>
              <w:spacing w:after="200" w:line="360" w:lineRule="auto"/>
              <w:ind w:left="714" w:hanging="357"/>
              <w:contextualSpacing/>
              <w:rPr>
                <w:rFonts w:ascii="Arial" w:eastAsia="Calibri" w:hAnsi="Arial" w:cs="Arial"/>
                <w:bCs/>
                <w:iCs/>
                <w:lang w:val="en-US"/>
              </w:rPr>
            </w:pPr>
            <w:r w:rsidRPr="00FE37BA">
              <w:rPr>
                <w:rFonts w:ascii="Arial" w:eastAsia="Calibri" w:hAnsi="Arial" w:cs="Arial"/>
                <w:bCs/>
                <w:iCs/>
                <w:lang w:val="en-US"/>
              </w:rPr>
              <w:t>GP and patient website</w:t>
            </w:r>
          </w:p>
          <w:p w:rsidR="00FA0FE3" w:rsidRPr="00FE37BA" w:rsidRDefault="00FA0FE3" w:rsidP="00D1231E">
            <w:pPr>
              <w:numPr>
                <w:ilvl w:val="0"/>
                <w:numId w:val="3"/>
              </w:numPr>
              <w:spacing w:after="200" w:line="360" w:lineRule="auto"/>
              <w:rPr>
                <w:rFonts w:ascii="Arial" w:eastAsia="Calibri" w:hAnsi="Arial" w:cs="Arial"/>
                <w:bCs/>
                <w:iCs/>
                <w:lang w:val="en-US"/>
              </w:rPr>
            </w:pPr>
            <w:r w:rsidRPr="00FE37BA">
              <w:rPr>
                <w:rFonts w:ascii="Arial" w:eastAsia="Calibri" w:hAnsi="Arial" w:cs="Arial"/>
                <w:bCs/>
                <w:iCs/>
                <w:lang w:val="en-US"/>
              </w:rPr>
              <w:t>Patient information booklet (provided to patient participants by GP participants)</w:t>
            </w:r>
          </w:p>
          <w:p w:rsidR="00FA0FE3" w:rsidRPr="006A2095" w:rsidRDefault="00FA0FE3" w:rsidP="00D1231E">
            <w:pPr>
              <w:spacing w:after="200" w:line="360" w:lineRule="auto"/>
              <w:rPr>
                <w:rFonts w:ascii="Arial" w:eastAsia="Calibri" w:hAnsi="Arial" w:cs="Arial"/>
              </w:rPr>
            </w:pPr>
            <w:r w:rsidRPr="00FE37BA">
              <w:rPr>
                <w:rFonts w:ascii="Arial" w:eastAsia="Calibri" w:hAnsi="Arial" w:cs="Arial"/>
                <w:bCs/>
                <w:iCs/>
                <w:lang w:val="en-US"/>
              </w:rPr>
              <w:t>Further information available in published protocol (</w:t>
            </w:r>
            <w:hyperlink r:id="rId7" w:history="1">
              <w:r w:rsidRPr="00FE37BA">
                <w:rPr>
                  <w:rStyle w:val="Hyperlink"/>
                  <w:rFonts w:ascii="Arial" w:eastAsia="Calibri" w:hAnsi="Arial" w:cs="Arial"/>
                  <w:bCs/>
                  <w:iCs/>
                  <w:lang w:val="en-US"/>
                </w:rPr>
                <w:t>https://trialsjournal.biomedcentral.com/articles/10.1186/s13063-017-2225-8</w:t>
              </w:r>
            </w:hyperlink>
            <w:r w:rsidRPr="00FE37BA">
              <w:rPr>
                <w:rFonts w:ascii="Arial" w:eastAsia="Calibri" w:hAnsi="Arial" w:cs="Arial"/>
                <w:bCs/>
                <w:iCs/>
                <w:lang w:val="en-US"/>
              </w:rPr>
              <w:t>)</w:t>
            </w:r>
            <w:proofErr w:type="gramStart"/>
            <w:r w:rsidRPr="00FE37BA">
              <w:rPr>
                <w:rFonts w:ascii="Arial" w:eastAsia="Calibri" w:hAnsi="Arial" w:cs="Arial"/>
                <w:bCs/>
                <w:iCs/>
                <w:lang w:val="en-US"/>
              </w:rPr>
              <w:t>.</w:t>
            </w:r>
            <w:r w:rsidRPr="006A2095">
              <w:rPr>
                <w:rFonts w:ascii="Arial" w:eastAsia="Calibri" w:hAnsi="Arial" w:cs="Arial"/>
                <w:bCs/>
                <w:iCs/>
              </w:rPr>
              <w:t>.</w:t>
            </w:r>
            <w:proofErr w:type="gramEnd"/>
          </w:p>
        </w:tc>
      </w:tr>
      <w:tr w:rsidR="00FA0FE3" w:rsidRPr="007F31AB" w:rsidTr="00D1231E">
        <w:tc>
          <w:tcPr>
            <w:tcW w:w="1280" w:type="dxa"/>
            <w:tcBorders>
              <w:right w:val="nil"/>
            </w:tcBorders>
          </w:tcPr>
          <w:p w:rsidR="00FA0FE3" w:rsidRPr="006A2095" w:rsidRDefault="00FA0FE3" w:rsidP="00D1231E">
            <w:pPr>
              <w:spacing w:after="200" w:line="360" w:lineRule="auto"/>
              <w:rPr>
                <w:rFonts w:ascii="Arial" w:eastAsia="Calibri" w:hAnsi="Arial" w:cs="Arial"/>
                <w:b/>
                <w:bCs/>
              </w:rPr>
            </w:pPr>
            <w:r w:rsidRPr="006A2095">
              <w:rPr>
                <w:rFonts w:ascii="Arial" w:eastAsia="Calibri" w:hAnsi="Arial" w:cs="Arial"/>
                <w:b/>
                <w:bCs/>
              </w:rPr>
              <w:t>4.</w:t>
            </w:r>
          </w:p>
        </w:tc>
        <w:tc>
          <w:tcPr>
            <w:tcW w:w="8076" w:type="dxa"/>
            <w:tcBorders>
              <w:left w:val="nil"/>
              <w:right w:val="nil"/>
            </w:tcBorders>
          </w:tcPr>
          <w:p w:rsidR="00FA0FE3" w:rsidRDefault="00FA0FE3" w:rsidP="00D1231E">
            <w:pPr>
              <w:spacing w:after="200" w:line="360" w:lineRule="auto"/>
              <w:rPr>
                <w:rFonts w:ascii="Arial" w:eastAsia="Calibri" w:hAnsi="Arial" w:cs="Arial"/>
                <w:bCs/>
                <w:iCs/>
              </w:rPr>
            </w:pPr>
            <w:r w:rsidRPr="006A2095">
              <w:rPr>
                <w:rFonts w:ascii="Arial" w:eastAsia="Calibri" w:hAnsi="Arial" w:cs="Arial"/>
                <w:bCs/>
                <w:iCs/>
              </w:rPr>
              <w:t xml:space="preserve">Procedures: </w:t>
            </w:r>
          </w:p>
          <w:p w:rsidR="00FA0FE3" w:rsidRPr="00FE37BA" w:rsidRDefault="00FA0FE3" w:rsidP="00D1231E">
            <w:pPr>
              <w:spacing w:after="200" w:line="360" w:lineRule="auto"/>
              <w:rPr>
                <w:rFonts w:ascii="Arial" w:eastAsia="Calibri" w:hAnsi="Arial" w:cs="Arial"/>
                <w:bCs/>
                <w:iCs/>
                <w:lang w:val="en-US"/>
              </w:rPr>
            </w:pPr>
            <w:r w:rsidRPr="00FE37BA">
              <w:rPr>
                <w:rFonts w:ascii="Arial" w:eastAsia="Calibri" w:hAnsi="Arial" w:cs="Arial"/>
                <w:bCs/>
                <w:iCs/>
                <w:lang w:val="en-US"/>
              </w:rPr>
              <w:t xml:space="preserve">General practitioners were trained in the FREE approach through an interactive training workshop that included an evidence update, facilitated discussion, role plays, and video presentation of excerpts from patient consultations. They then undertook </w:t>
            </w:r>
            <w:proofErr w:type="gramStart"/>
            <w:r w:rsidRPr="00FE37BA">
              <w:rPr>
                <w:rFonts w:ascii="Arial" w:eastAsia="Calibri" w:hAnsi="Arial" w:cs="Arial"/>
                <w:bCs/>
                <w:iCs/>
                <w:lang w:val="en-US"/>
              </w:rPr>
              <w:t>four-weeks</w:t>
            </w:r>
            <w:proofErr w:type="gramEnd"/>
            <w:r w:rsidRPr="00FE37BA">
              <w:rPr>
                <w:rFonts w:ascii="Arial" w:eastAsia="Calibri" w:hAnsi="Arial" w:cs="Arial"/>
                <w:bCs/>
                <w:iCs/>
                <w:lang w:val="en-US"/>
              </w:rPr>
              <w:t xml:space="preserve">’ experiential learning with active reflection related to low back pain consultations, </w:t>
            </w:r>
            <w:r>
              <w:rPr>
                <w:rFonts w:ascii="Arial" w:eastAsia="Calibri" w:hAnsi="Arial" w:cs="Arial"/>
                <w:bCs/>
                <w:iCs/>
                <w:lang w:val="en-US"/>
              </w:rPr>
              <w:t>followed by</w:t>
            </w:r>
            <w:r w:rsidRPr="00FE37BA">
              <w:rPr>
                <w:rFonts w:ascii="Arial" w:eastAsia="Calibri" w:hAnsi="Arial" w:cs="Arial"/>
                <w:bCs/>
                <w:iCs/>
                <w:lang w:val="en-US"/>
              </w:rPr>
              <w:t xml:space="preserve"> participat</w:t>
            </w:r>
            <w:r>
              <w:rPr>
                <w:rFonts w:ascii="Arial" w:eastAsia="Calibri" w:hAnsi="Arial" w:cs="Arial"/>
                <w:bCs/>
                <w:iCs/>
                <w:lang w:val="en-US"/>
              </w:rPr>
              <w:t>ion</w:t>
            </w:r>
            <w:r w:rsidRPr="00FE37BA">
              <w:rPr>
                <w:rFonts w:ascii="Arial" w:eastAsia="Calibri" w:hAnsi="Arial" w:cs="Arial"/>
                <w:bCs/>
                <w:iCs/>
                <w:lang w:val="en-US"/>
              </w:rPr>
              <w:t xml:space="preserve"> in a refresher session with facilitated discussion.</w:t>
            </w:r>
          </w:p>
          <w:p w:rsidR="00FA0FE3" w:rsidRPr="007F31AB" w:rsidRDefault="00FA0FE3" w:rsidP="00D1231E">
            <w:pPr>
              <w:spacing w:after="200" w:line="360" w:lineRule="auto"/>
              <w:rPr>
                <w:rFonts w:ascii="Arial" w:eastAsia="Calibri" w:hAnsi="Arial" w:cs="Arial"/>
                <w:lang w:val="en-GB"/>
              </w:rPr>
            </w:pPr>
            <w:r w:rsidRPr="00FE37BA">
              <w:rPr>
                <w:rFonts w:ascii="Arial" w:eastAsia="Calibri" w:hAnsi="Arial" w:cs="Arial"/>
                <w:bCs/>
                <w:iCs/>
                <w:lang w:val="en-US"/>
              </w:rPr>
              <w:t>General practitioners were</w:t>
            </w:r>
            <w:r w:rsidRPr="00FE37BA">
              <w:rPr>
                <w:rFonts w:ascii="Arial" w:eastAsia="Calibri" w:hAnsi="Arial" w:cs="Arial"/>
                <w:bCs/>
                <w:iCs/>
                <w:lang w:val="en-GB"/>
              </w:rPr>
              <w:t xml:space="preserve"> asked to use the FREE approach to inform their consultations with patients who had LBP. There was no compulsion or performance feedback, reflecting the pragmatic nature of the effectiveness trial. The electronic medical record tool aided adherence to the suggested model of consultation and the patient information booklet supported key messages, however, there was no compulsion to use these resources.</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rPr>
            </w:pPr>
          </w:p>
        </w:tc>
        <w:tc>
          <w:tcPr>
            <w:tcW w:w="8076" w:type="dxa"/>
            <w:tcBorders>
              <w:left w:val="nil"/>
              <w:right w:val="nil"/>
            </w:tcBorders>
          </w:tcPr>
          <w:p w:rsidR="00FA0FE3" w:rsidRPr="006A2095" w:rsidRDefault="00FA0FE3" w:rsidP="00D1231E">
            <w:pPr>
              <w:spacing w:after="200" w:line="360" w:lineRule="auto"/>
              <w:rPr>
                <w:rFonts w:ascii="Arial" w:eastAsia="Calibri" w:hAnsi="Arial" w:cs="Arial"/>
                <w:b/>
              </w:rPr>
            </w:pPr>
            <w:r w:rsidRPr="006A2095">
              <w:rPr>
                <w:rFonts w:ascii="Arial" w:eastAsia="Calibri" w:hAnsi="Arial" w:cs="Arial"/>
                <w:b/>
                <w:bCs/>
                <w:iCs/>
              </w:rPr>
              <w:t>WHO PROVIDED</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b/>
                <w:bCs/>
              </w:rPr>
            </w:pPr>
            <w:r w:rsidRPr="006A2095">
              <w:rPr>
                <w:rFonts w:ascii="Arial" w:eastAsia="Calibri" w:hAnsi="Arial" w:cs="Arial"/>
                <w:b/>
                <w:bCs/>
              </w:rPr>
              <w:lastRenderedPageBreak/>
              <w:t>5.</w:t>
            </w:r>
          </w:p>
        </w:tc>
        <w:tc>
          <w:tcPr>
            <w:tcW w:w="8076" w:type="dxa"/>
            <w:tcBorders>
              <w:left w:val="nil"/>
              <w:right w:val="nil"/>
            </w:tcBorders>
          </w:tcPr>
          <w:p w:rsidR="00FA0FE3" w:rsidRPr="00FE37BA" w:rsidRDefault="00FA0FE3" w:rsidP="00D1231E">
            <w:pPr>
              <w:spacing w:after="200" w:line="360" w:lineRule="auto"/>
              <w:rPr>
                <w:rFonts w:ascii="Arial" w:eastAsia="Calibri" w:hAnsi="Arial" w:cs="Arial"/>
                <w:bCs/>
                <w:iCs/>
                <w:lang w:val="en-US"/>
              </w:rPr>
            </w:pPr>
            <w:r w:rsidRPr="00FE37BA">
              <w:rPr>
                <w:rFonts w:ascii="Arial" w:eastAsia="Calibri" w:hAnsi="Arial" w:cs="Arial"/>
                <w:bCs/>
                <w:iCs/>
                <w:lang w:val="en-US"/>
              </w:rPr>
              <w:t xml:space="preserve">The general practitioner participants were trained by the first author (BD) who led the development of the intervention. He was a Musculoskeletal Physiotherapy Specialist with 18 years of clinical experience and an experienced educator at the time of the first training session. </w:t>
            </w:r>
            <w:r w:rsidRPr="00FE37BA">
              <w:rPr>
                <w:rFonts w:ascii="Arial" w:eastAsia="Calibri" w:hAnsi="Arial" w:cs="Arial"/>
                <w:bCs/>
                <w:iCs/>
                <w:lang w:val="en-GB"/>
              </w:rPr>
              <w:t>GPs were paid NZ$800 (£GBP 412.59) for time associated with training and NZ$20 (£GBP 10.32) for each of up to three patients with whom they used the FREE approach during the experiential learning period.</w:t>
            </w:r>
          </w:p>
          <w:p w:rsidR="00FA0FE3" w:rsidRPr="006A2095" w:rsidRDefault="00FA0FE3" w:rsidP="00D1231E">
            <w:pPr>
              <w:spacing w:after="200" w:line="360" w:lineRule="auto"/>
              <w:rPr>
                <w:rFonts w:ascii="Arial" w:eastAsia="Calibri" w:hAnsi="Arial" w:cs="Arial"/>
              </w:rPr>
            </w:pPr>
            <w:r w:rsidRPr="00FE37BA">
              <w:rPr>
                <w:rFonts w:ascii="Arial" w:eastAsia="Calibri" w:hAnsi="Arial" w:cs="Arial"/>
                <w:bCs/>
                <w:iCs/>
                <w:lang w:val="en-US"/>
              </w:rPr>
              <w:t>The patient participants were treated by general practitioners who were trained as described above. All general practitioner participants were registered medical practitioners working in a general practice and had a mean 14·4 (SD 11.5) years’ general practice experience. The general practitioners delivered the intervention as part of their usual clinical role and did not receive any additional payment for providing this.</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rPr>
            </w:pPr>
          </w:p>
        </w:tc>
        <w:tc>
          <w:tcPr>
            <w:tcW w:w="8076" w:type="dxa"/>
            <w:tcBorders>
              <w:left w:val="nil"/>
              <w:right w:val="nil"/>
            </w:tcBorders>
          </w:tcPr>
          <w:p w:rsidR="00FA0FE3" w:rsidRPr="006A2095" w:rsidRDefault="00FA0FE3" w:rsidP="00D1231E">
            <w:pPr>
              <w:spacing w:after="200" w:line="360" w:lineRule="auto"/>
              <w:rPr>
                <w:rFonts w:ascii="Arial" w:eastAsia="Calibri" w:hAnsi="Arial" w:cs="Arial"/>
                <w:b/>
              </w:rPr>
            </w:pPr>
            <w:r w:rsidRPr="006A2095">
              <w:rPr>
                <w:rFonts w:ascii="Arial" w:eastAsia="Calibri" w:hAnsi="Arial" w:cs="Arial"/>
                <w:b/>
                <w:iCs/>
              </w:rPr>
              <w:t>HOW</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b/>
                <w:bCs/>
              </w:rPr>
            </w:pPr>
            <w:r w:rsidRPr="006A2095">
              <w:rPr>
                <w:rFonts w:ascii="Arial" w:eastAsia="Calibri" w:hAnsi="Arial" w:cs="Arial"/>
                <w:b/>
                <w:bCs/>
              </w:rPr>
              <w:t>6.</w:t>
            </w:r>
          </w:p>
        </w:tc>
        <w:tc>
          <w:tcPr>
            <w:tcW w:w="8076" w:type="dxa"/>
            <w:tcBorders>
              <w:left w:val="nil"/>
              <w:right w:val="nil"/>
            </w:tcBorders>
          </w:tcPr>
          <w:p w:rsidR="00FA0FE3" w:rsidRPr="00FE37BA" w:rsidRDefault="00FA0FE3" w:rsidP="00D1231E">
            <w:pPr>
              <w:spacing w:after="200" w:line="360" w:lineRule="auto"/>
              <w:rPr>
                <w:rFonts w:ascii="Arial" w:eastAsia="Calibri" w:hAnsi="Arial" w:cs="Arial"/>
                <w:bCs/>
                <w:iCs/>
                <w:lang w:val="en-US"/>
              </w:rPr>
            </w:pPr>
            <w:r w:rsidRPr="00FE37BA">
              <w:rPr>
                <w:rFonts w:ascii="Arial" w:eastAsia="Calibri" w:hAnsi="Arial" w:cs="Arial"/>
                <w:bCs/>
                <w:iCs/>
                <w:lang w:val="en-US"/>
              </w:rPr>
              <w:t>General practitioner participants were trained in practice groups through face-to-face workshops.</w:t>
            </w:r>
          </w:p>
          <w:p w:rsidR="00FA0FE3" w:rsidRPr="006A2095" w:rsidRDefault="00FA0FE3" w:rsidP="00D1231E">
            <w:pPr>
              <w:spacing w:after="200" w:line="360" w:lineRule="auto"/>
              <w:rPr>
                <w:rFonts w:ascii="Arial" w:eastAsia="Calibri" w:hAnsi="Arial" w:cs="Arial"/>
              </w:rPr>
            </w:pPr>
            <w:r w:rsidRPr="00FE37BA">
              <w:rPr>
                <w:rFonts w:ascii="Arial" w:eastAsia="Calibri" w:hAnsi="Arial" w:cs="Arial"/>
                <w:bCs/>
                <w:iCs/>
                <w:lang w:val="en-US"/>
              </w:rPr>
              <w:t>Patient participants received individual care as per normal from their general practitioner. This always included a face-to-face consultation, but may have also included telephone follow-up or asynchronous email or web-based interactions.</w:t>
            </w:r>
          </w:p>
        </w:tc>
      </w:tr>
      <w:tr w:rsidR="00FA0FE3" w:rsidRPr="006A2095" w:rsidTr="00D1231E">
        <w:tc>
          <w:tcPr>
            <w:tcW w:w="1280" w:type="dxa"/>
            <w:tcBorders>
              <w:bottom w:val="nil"/>
              <w:right w:val="nil"/>
            </w:tcBorders>
          </w:tcPr>
          <w:p w:rsidR="00FA0FE3" w:rsidRPr="006A2095" w:rsidRDefault="00FA0FE3" w:rsidP="00D1231E">
            <w:pPr>
              <w:spacing w:after="200" w:line="360" w:lineRule="auto"/>
              <w:rPr>
                <w:rFonts w:ascii="Arial" w:eastAsia="Calibri" w:hAnsi="Arial" w:cs="Arial"/>
              </w:rPr>
            </w:pPr>
          </w:p>
        </w:tc>
        <w:tc>
          <w:tcPr>
            <w:tcW w:w="8076" w:type="dxa"/>
            <w:tcBorders>
              <w:left w:val="nil"/>
              <w:bottom w:val="nil"/>
              <w:right w:val="nil"/>
            </w:tcBorders>
          </w:tcPr>
          <w:p w:rsidR="00FA0FE3" w:rsidRPr="006A2095" w:rsidRDefault="00FA0FE3" w:rsidP="00D1231E">
            <w:pPr>
              <w:spacing w:after="200" w:line="360" w:lineRule="auto"/>
              <w:rPr>
                <w:rFonts w:ascii="Arial" w:eastAsia="Calibri" w:hAnsi="Arial" w:cs="Arial"/>
                <w:b/>
              </w:rPr>
            </w:pPr>
            <w:r w:rsidRPr="006A2095">
              <w:rPr>
                <w:rFonts w:ascii="Arial" w:eastAsia="Calibri" w:hAnsi="Arial" w:cs="Arial"/>
                <w:b/>
              </w:rPr>
              <w:t>WHERE</w:t>
            </w:r>
          </w:p>
        </w:tc>
      </w:tr>
      <w:tr w:rsidR="00FA0FE3" w:rsidRPr="006A2095" w:rsidTr="00D1231E">
        <w:tc>
          <w:tcPr>
            <w:tcW w:w="1280" w:type="dxa"/>
            <w:tcBorders>
              <w:top w:val="nil"/>
              <w:bottom w:val="single" w:sz="4" w:space="0" w:color="auto"/>
              <w:right w:val="nil"/>
            </w:tcBorders>
          </w:tcPr>
          <w:p w:rsidR="00FA0FE3" w:rsidRPr="006A2095" w:rsidRDefault="00FA0FE3" w:rsidP="00D1231E">
            <w:pPr>
              <w:spacing w:after="200" w:line="360" w:lineRule="auto"/>
              <w:rPr>
                <w:rFonts w:ascii="Arial" w:eastAsia="Calibri" w:hAnsi="Arial" w:cs="Arial"/>
                <w:b/>
                <w:bCs/>
              </w:rPr>
            </w:pPr>
            <w:r w:rsidRPr="006A2095">
              <w:rPr>
                <w:rFonts w:ascii="Arial" w:eastAsia="Calibri" w:hAnsi="Arial" w:cs="Arial"/>
                <w:b/>
                <w:bCs/>
              </w:rPr>
              <w:t>7.</w:t>
            </w:r>
          </w:p>
        </w:tc>
        <w:tc>
          <w:tcPr>
            <w:tcW w:w="8076" w:type="dxa"/>
            <w:tcBorders>
              <w:top w:val="nil"/>
              <w:left w:val="nil"/>
              <w:bottom w:val="single" w:sz="4" w:space="0" w:color="auto"/>
              <w:right w:val="nil"/>
            </w:tcBorders>
          </w:tcPr>
          <w:p w:rsidR="00FA0FE3" w:rsidRPr="00FE37BA" w:rsidRDefault="00FA0FE3" w:rsidP="00D1231E">
            <w:pPr>
              <w:spacing w:after="200" w:line="360" w:lineRule="auto"/>
              <w:rPr>
                <w:rFonts w:ascii="Arial" w:eastAsia="Calibri" w:hAnsi="Arial" w:cs="Arial"/>
                <w:bCs/>
                <w:iCs/>
                <w:lang w:val="en-US"/>
              </w:rPr>
            </w:pPr>
            <w:r w:rsidRPr="00FE37BA">
              <w:rPr>
                <w:rFonts w:ascii="Arial" w:eastAsia="Calibri" w:hAnsi="Arial" w:cs="Arial"/>
                <w:bCs/>
                <w:iCs/>
                <w:lang w:val="en-US"/>
              </w:rPr>
              <w:t xml:space="preserve">General practitioner training workshops took place within general practitioner participants’ general practices. </w:t>
            </w:r>
          </w:p>
          <w:p w:rsidR="00FA0FE3" w:rsidRPr="006A2095" w:rsidRDefault="00FA0FE3" w:rsidP="00D1231E">
            <w:pPr>
              <w:spacing w:after="200" w:line="360" w:lineRule="auto"/>
              <w:rPr>
                <w:rFonts w:ascii="Arial" w:eastAsia="Calibri" w:hAnsi="Arial" w:cs="Arial"/>
              </w:rPr>
            </w:pPr>
            <w:r w:rsidRPr="00FE37BA">
              <w:rPr>
                <w:rFonts w:ascii="Arial" w:eastAsia="Calibri" w:hAnsi="Arial" w:cs="Arial"/>
                <w:bCs/>
                <w:iCs/>
                <w:lang w:val="en-US"/>
              </w:rPr>
              <w:t xml:space="preserve">Patient participants received care within their </w:t>
            </w:r>
            <w:r>
              <w:rPr>
                <w:rFonts w:ascii="Arial" w:eastAsia="Calibri" w:hAnsi="Arial" w:cs="Arial"/>
                <w:bCs/>
                <w:iCs/>
                <w:lang w:val="en-US"/>
              </w:rPr>
              <w:t>usual</w:t>
            </w:r>
            <w:r w:rsidRPr="00FE37BA">
              <w:rPr>
                <w:rFonts w:ascii="Arial" w:eastAsia="Calibri" w:hAnsi="Arial" w:cs="Arial"/>
                <w:bCs/>
                <w:iCs/>
                <w:lang w:val="en-US"/>
              </w:rPr>
              <w:t xml:space="preserve"> general practice.</w:t>
            </w:r>
          </w:p>
        </w:tc>
      </w:tr>
      <w:tr w:rsidR="00FA0FE3" w:rsidRPr="006A2095" w:rsidTr="00D1231E">
        <w:tc>
          <w:tcPr>
            <w:tcW w:w="1280" w:type="dxa"/>
            <w:tcBorders>
              <w:top w:val="single" w:sz="4" w:space="0" w:color="auto"/>
              <w:bottom w:val="nil"/>
              <w:right w:val="nil"/>
            </w:tcBorders>
          </w:tcPr>
          <w:p w:rsidR="00FA0FE3" w:rsidRPr="006A2095" w:rsidRDefault="00FA0FE3" w:rsidP="00D1231E">
            <w:pPr>
              <w:spacing w:after="200" w:line="360" w:lineRule="auto"/>
              <w:rPr>
                <w:rFonts w:ascii="Arial" w:eastAsia="Calibri" w:hAnsi="Arial" w:cs="Arial"/>
              </w:rPr>
            </w:pPr>
          </w:p>
        </w:tc>
        <w:tc>
          <w:tcPr>
            <w:tcW w:w="8076" w:type="dxa"/>
            <w:tcBorders>
              <w:top w:val="single" w:sz="4" w:space="0" w:color="auto"/>
              <w:left w:val="nil"/>
              <w:bottom w:val="nil"/>
              <w:right w:val="nil"/>
            </w:tcBorders>
          </w:tcPr>
          <w:p w:rsidR="00FA0FE3" w:rsidRPr="006A2095" w:rsidRDefault="00FA0FE3" w:rsidP="00D1231E">
            <w:pPr>
              <w:spacing w:before="240" w:after="200" w:line="360" w:lineRule="auto"/>
              <w:rPr>
                <w:rFonts w:ascii="Arial" w:eastAsia="Calibri" w:hAnsi="Arial" w:cs="Arial"/>
                <w:b/>
              </w:rPr>
            </w:pPr>
            <w:r w:rsidRPr="006A2095">
              <w:rPr>
                <w:rFonts w:ascii="Arial" w:eastAsia="Calibri" w:hAnsi="Arial" w:cs="Arial"/>
                <w:b/>
                <w:bCs/>
                <w:iCs/>
              </w:rPr>
              <w:t>WHEN and HOW MUCH</w:t>
            </w:r>
          </w:p>
        </w:tc>
      </w:tr>
      <w:tr w:rsidR="00FA0FE3" w:rsidRPr="006A2095" w:rsidTr="00D1231E">
        <w:tc>
          <w:tcPr>
            <w:tcW w:w="1280" w:type="dxa"/>
            <w:tcBorders>
              <w:top w:val="nil"/>
              <w:bottom w:val="nil"/>
              <w:right w:val="nil"/>
            </w:tcBorders>
          </w:tcPr>
          <w:p w:rsidR="00FA0FE3" w:rsidRPr="006A2095" w:rsidRDefault="00FA0FE3" w:rsidP="00D1231E">
            <w:pPr>
              <w:spacing w:after="200" w:line="360" w:lineRule="auto"/>
              <w:rPr>
                <w:rFonts w:ascii="Arial" w:eastAsia="Calibri" w:hAnsi="Arial" w:cs="Arial"/>
                <w:b/>
                <w:bCs/>
              </w:rPr>
            </w:pPr>
            <w:r w:rsidRPr="006A2095">
              <w:rPr>
                <w:rFonts w:ascii="Arial" w:eastAsia="Calibri" w:hAnsi="Arial" w:cs="Arial"/>
                <w:b/>
                <w:bCs/>
              </w:rPr>
              <w:t>8.</w:t>
            </w:r>
          </w:p>
        </w:tc>
        <w:tc>
          <w:tcPr>
            <w:tcW w:w="8076" w:type="dxa"/>
            <w:tcBorders>
              <w:top w:val="nil"/>
              <w:left w:val="nil"/>
              <w:bottom w:val="nil"/>
              <w:right w:val="nil"/>
            </w:tcBorders>
          </w:tcPr>
          <w:p w:rsidR="00FA0FE3" w:rsidRPr="00FE37BA" w:rsidRDefault="00FA0FE3" w:rsidP="00D1231E">
            <w:pPr>
              <w:spacing w:after="200" w:line="360" w:lineRule="auto"/>
              <w:rPr>
                <w:rFonts w:ascii="Arial" w:eastAsia="Calibri" w:hAnsi="Arial" w:cs="Arial"/>
                <w:bCs/>
                <w:iCs/>
                <w:lang w:val="en-US"/>
              </w:rPr>
            </w:pPr>
            <w:r w:rsidRPr="00FE37BA">
              <w:rPr>
                <w:rFonts w:ascii="Arial" w:eastAsia="Calibri" w:hAnsi="Arial" w:cs="Arial"/>
                <w:bCs/>
                <w:iCs/>
                <w:lang w:val="en-US"/>
              </w:rPr>
              <w:t>GPs participated in two training sessions; a four-hour initial workshop and a one-hour refresher session following four-weeks’ of experiential learning.</w:t>
            </w:r>
          </w:p>
          <w:p w:rsidR="00FA0FE3" w:rsidRPr="006A2095" w:rsidRDefault="00FA0FE3" w:rsidP="00D1231E">
            <w:pPr>
              <w:spacing w:after="200" w:line="360" w:lineRule="auto"/>
              <w:rPr>
                <w:rFonts w:ascii="Arial" w:eastAsia="Calibri" w:hAnsi="Arial" w:cs="Arial"/>
                <w:lang w:val="en-US"/>
              </w:rPr>
            </w:pPr>
            <w:r w:rsidRPr="00FE37BA">
              <w:rPr>
                <w:rFonts w:ascii="Arial" w:eastAsia="Calibri" w:hAnsi="Arial" w:cs="Arial"/>
                <w:bCs/>
                <w:iCs/>
                <w:lang w:val="en-US"/>
              </w:rPr>
              <w:t>Patient participants received care as determined by their general practitioner (and the</w:t>
            </w:r>
            <w:r>
              <w:rPr>
                <w:rFonts w:ascii="Arial" w:eastAsia="Calibri" w:hAnsi="Arial" w:cs="Arial"/>
                <w:bCs/>
                <w:iCs/>
                <w:lang w:val="en-US"/>
              </w:rPr>
              <w:t xml:space="preserve"> patient’s</w:t>
            </w:r>
            <w:r w:rsidRPr="00FE37BA">
              <w:rPr>
                <w:rFonts w:ascii="Arial" w:eastAsia="Calibri" w:hAnsi="Arial" w:cs="Arial"/>
                <w:bCs/>
                <w:iCs/>
                <w:lang w:val="en-US"/>
              </w:rPr>
              <w:t xml:space="preserve"> own autonomy). This was not </w:t>
            </w:r>
            <w:r>
              <w:rPr>
                <w:rFonts w:ascii="Arial" w:eastAsia="Calibri" w:hAnsi="Arial" w:cs="Arial"/>
                <w:bCs/>
                <w:iCs/>
                <w:lang w:val="en-US"/>
              </w:rPr>
              <w:t>controlled</w:t>
            </w:r>
            <w:r w:rsidRPr="00FE37BA">
              <w:rPr>
                <w:rFonts w:ascii="Arial" w:eastAsia="Calibri" w:hAnsi="Arial" w:cs="Arial"/>
                <w:bCs/>
                <w:iCs/>
                <w:lang w:val="en-US"/>
              </w:rPr>
              <w:t xml:space="preserve"> by the study, but was </w:t>
            </w:r>
            <w:r w:rsidRPr="00FE37BA">
              <w:rPr>
                <w:rFonts w:ascii="Arial" w:eastAsia="Calibri" w:hAnsi="Arial" w:cs="Arial"/>
                <w:bCs/>
                <w:iCs/>
                <w:lang w:val="en-US"/>
              </w:rPr>
              <w:lastRenderedPageBreak/>
              <w:t xml:space="preserve">monitored and reported. Mean consultation duration </w:t>
            </w:r>
            <w:r>
              <w:rPr>
                <w:rFonts w:ascii="Arial" w:eastAsia="Calibri" w:hAnsi="Arial" w:cs="Arial"/>
                <w:bCs/>
                <w:iCs/>
                <w:lang w:val="en-US"/>
              </w:rPr>
              <w:t>based on</w:t>
            </w:r>
            <w:r w:rsidRPr="00FE37BA">
              <w:rPr>
                <w:rFonts w:ascii="Arial" w:eastAsia="Calibri" w:hAnsi="Arial" w:cs="Arial"/>
                <w:bCs/>
                <w:iCs/>
                <w:lang w:val="en-US"/>
              </w:rPr>
              <w:t xml:space="preserve"> audio-recorded consultations (recruitment consultation) in the intervention arm was 22·8 minutes (SD = 8·5; 95% CI 19·1 to 26·5). Participants attended a mean of 1·0 additional GP consultations related to low back pain during the 6 month follow-up period (95% CI 0·6 to 1·4).</w:t>
            </w:r>
          </w:p>
        </w:tc>
      </w:tr>
      <w:tr w:rsidR="00FA0FE3" w:rsidRPr="006A2095" w:rsidTr="00D1231E">
        <w:tc>
          <w:tcPr>
            <w:tcW w:w="1280" w:type="dxa"/>
            <w:tcBorders>
              <w:top w:val="nil"/>
              <w:right w:val="nil"/>
            </w:tcBorders>
          </w:tcPr>
          <w:p w:rsidR="00FA0FE3" w:rsidRPr="006A2095" w:rsidRDefault="00FA0FE3" w:rsidP="00D1231E">
            <w:pPr>
              <w:spacing w:after="200" w:line="360" w:lineRule="auto"/>
              <w:rPr>
                <w:rFonts w:ascii="Arial" w:eastAsia="Calibri" w:hAnsi="Arial" w:cs="Arial"/>
              </w:rPr>
            </w:pPr>
          </w:p>
        </w:tc>
        <w:tc>
          <w:tcPr>
            <w:tcW w:w="8076" w:type="dxa"/>
            <w:tcBorders>
              <w:top w:val="nil"/>
              <w:left w:val="nil"/>
              <w:right w:val="nil"/>
            </w:tcBorders>
          </w:tcPr>
          <w:p w:rsidR="00FA0FE3" w:rsidRPr="006A2095" w:rsidRDefault="00FA0FE3" w:rsidP="00D1231E">
            <w:pPr>
              <w:spacing w:after="200" w:line="360" w:lineRule="auto"/>
              <w:rPr>
                <w:rFonts w:ascii="Arial" w:eastAsia="Calibri" w:hAnsi="Arial" w:cs="Arial"/>
                <w:b/>
              </w:rPr>
            </w:pPr>
            <w:r w:rsidRPr="006A2095">
              <w:rPr>
                <w:rFonts w:ascii="Arial" w:eastAsia="Calibri" w:hAnsi="Arial" w:cs="Arial"/>
                <w:b/>
                <w:bCs/>
              </w:rPr>
              <w:t>TAILORING</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b/>
                <w:bCs/>
              </w:rPr>
            </w:pPr>
            <w:r w:rsidRPr="006A2095">
              <w:rPr>
                <w:rFonts w:ascii="Arial" w:eastAsia="Calibri" w:hAnsi="Arial" w:cs="Arial"/>
                <w:b/>
                <w:bCs/>
              </w:rPr>
              <w:t>9.</w:t>
            </w:r>
          </w:p>
        </w:tc>
        <w:tc>
          <w:tcPr>
            <w:tcW w:w="8076" w:type="dxa"/>
            <w:tcBorders>
              <w:left w:val="nil"/>
              <w:right w:val="nil"/>
            </w:tcBorders>
          </w:tcPr>
          <w:p w:rsidR="00FA0FE3" w:rsidRPr="00FE37BA" w:rsidRDefault="00FA0FE3" w:rsidP="00D1231E">
            <w:pPr>
              <w:spacing w:after="200" w:line="360" w:lineRule="auto"/>
              <w:rPr>
                <w:rFonts w:ascii="Arial" w:eastAsia="Calibri" w:hAnsi="Arial" w:cs="Arial"/>
                <w:bCs/>
                <w:lang w:val="en-US"/>
              </w:rPr>
            </w:pPr>
            <w:r w:rsidRPr="00FE37BA">
              <w:rPr>
                <w:rFonts w:ascii="Arial" w:eastAsia="Calibri" w:hAnsi="Arial" w:cs="Arial"/>
                <w:bCs/>
                <w:lang w:val="en-US"/>
              </w:rPr>
              <w:t>General practitioner training was delivered using standard pre-reading, presentation, training manual, role plays, and video excerpts from patient consultations. The facilitated discussion was adapted to each workshop depending on topics that arose.</w:t>
            </w:r>
          </w:p>
          <w:p w:rsidR="00FA0FE3" w:rsidRPr="006A2095" w:rsidRDefault="00FA0FE3" w:rsidP="00D1231E">
            <w:pPr>
              <w:spacing w:after="200" w:line="360" w:lineRule="auto"/>
              <w:rPr>
                <w:rFonts w:ascii="Arial" w:eastAsia="Calibri" w:hAnsi="Arial" w:cs="Arial"/>
              </w:rPr>
            </w:pPr>
            <w:r w:rsidRPr="00FE37BA">
              <w:rPr>
                <w:rFonts w:ascii="Arial" w:eastAsia="Calibri" w:hAnsi="Arial" w:cs="Arial"/>
                <w:bCs/>
                <w:lang w:val="en-US"/>
              </w:rPr>
              <w:t xml:space="preserve">General practitioners </w:t>
            </w:r>
            <w:proofErr w:type="spellStart"/>
            <w:r w:rsidRPr="00FE37BA">
              <w:rPr>
                <w:rFonts w:ascii="Arial" w:eastAsia="Calibri" w:hAnsi="Arial" w:cs="Arial"/>
                <w:bCs/>
                <w:lang w:val="en-US"/>
              </w:rPr>
              <w:t>personalised</w:t>
            </w:r>
            <w:proofErr w:type="spellEnd"/>
            <w:r w:rsidRPr="00FE37BA">
              <w:rPr>
                <w:rFonts w:ascii="Arial" w:eastAsia="Calibri" w:hAnsi="Arial" w:cs="Arial"/>
                <w:bCs/>
                <w:lang w:val="en-US"/>
              </w:rPr>
              <w:t xml:space="preserve"> the intervention to each patient participant. T</w:t>
            </w:r>
            <w:r w:rsidRPr="00FE37BA">
              <w:rPr>
                <w:rFonts w:ascii="Arial" w:eastAsia="Calibri" w:hAnsi="Arial" w:cs="Arial"/>
                <w:bCs/>
                <w:lang w:val="en-GB"/>
              </w:rPr>
              <w:t>he FREE approach provides a framework to guide consultations, suggested areas of focus, and techniques and explanatory models to support key objectives but general practitioners were able to apply these (or not) as they wished within each consultation.</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rPr>
            </w:pPr>
          </w:p>
        </w:tc>
        <w:tc>
          <w:tcPr>
            <w:tcW w:w="8076" w:type="dxa"/>
            <w:tcBorders>
              <w:left w:val="nil"/>
              <w:right w:val="nil"/>
            </w:tcBorders>
          </w:tcPr>
          <w:p w:rsidR="00FA0FE3" w:rsidRPr="006A2095" w:rsidRDefault="00FA0FE3" w:rsidP="00D1231E">
            <w:pPr>
              <w:spacing w:after="200" w:line="360" w:lineRule="auto"/>
              <w:rPr>
                <w:rFonts w:ascii="Arial" w:eastAsia="Calibri" w:hAnsi="Arial" w:cs="Arial"/>
                <w:b/>
              </w:rPr>
            </w:pPr>
            <w:r w:rsidRPr="006A2095">
              <w:rPr>
                <w:rFonts w:ascii="Arial" w:eastAsia="Calibri" w:hAnsi="Arial" w:cs="Arial"/>
                <w:b/>
                <w:bCs/>
              </w:rPr>
              <w:t>MODIFICATIONS</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b/>
                <w:bCs/>
              </w:rPr>
            </w:pPr>
            <w:r w:rsidRPr="006A2095">
              <w:rPr>
                <w:rFonts w:ascii="Arial" w:eastAsia="Calibri" w:hAnsi="Arial" w:cs="Arial"/>
                <w:b/>
                <w:bCs/>
              </w:rPr>
              <w:t>10.</w:t>
            </w:r>
            <w:r w:rsidRPr="006A2095">
              <w:rPr>
                <w:rFonts w:ascii="Arial" w:eastAsia="Times New Roman" w:hAnsi="Arial" w:cs="Arial"/>
                <w:b/>
                <w:bCs/>
                <w:color w:val="000000"/>
                <w:kern w:val="24"/>
                <w:vertAlign w:val="superscript"/>
                <w:lang w:val="en-GB" w:eastAsia="zh-CN"/>
              </w:rPr>
              <w:t>ǂ</w:t>
            </w:r>
          </w:p>
        </w:tc>
        <w:tc>
          <w:tcPr>
            <w:tcW w:w="8076" w:type="dxa"/>
            <w:tcBorders>
              <w:left w:val="nil"/>
              <w:right w:val="nil"/>
            </w:tcBorders>
          </w:tcPr>
          <w:p w:rsidR="00FA0FE3" w:rsidRPr="006A2095" w:rsidRDefault="00FA0FE3" w:rsidP="00D1231E">
            <w:pPr>
              <w:spacing w:after="200" w:line="360" w:lineRule="auto"/>
              <w:rPr>
                <w:rFonts w:ascii="Arial" w:eastAsia="Calibri" w:hAnsi="Arial" w:cs="Arial"/>
              </w:rPr>
            </w:pPr>
            <w:r w:rsidRPr="00FE37BA">
              <w:rPr>
                <w:rFonts w:ascii="Arial" w:eastAsia="Calibri" w:hAnsi="Arial" w:cs="Arial"/>
                <w:bCs/>
                <w:lang w:val="en-US"/>
              </w:rPr>
              <w:t xml:space="preserve">The intervention was not modified during the course of the study. The electronic medical record tool was slightly adapted to improve usability following feedback from the first intervention practice. A new version of the electronic medical record tool was created to support the third intervention practice as they used a different software </w:t>
            </w:r>
            <w:proofErr w:type="gramStart"/>
            <w:r w:rsidRPr="00FE37BA">
              <w:rPr>
                <w:rFonts w:ascii="Arial" w:eastAsia="Calibri" w:hAnsi="Arial" w:cs="Arial"/>
                <w:bCs/>
                <w:lang w:val="en-US"/>
              </w:rPr>
              <w:t>system,</w:t>
            </w:r>
            <w:proofErr w:type="gramEnd"/>
            <w:r w:rsidRPr="00FE37BA">
              <w:rPr>
                <w:rFonts w:ascii="Arial" w:eastAsia="Calibri" w:hAnsi="Arial" w:cs="Arial"/>
                <w:bCs/>
                <w:lang w:val="en-US"/>
              </w:rPr>
              <w:t xml:space="preserve"> however, the tool functioned very similarly to that used in other practices.</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b/>
              </w:rPr>
            </w:pPr>
          </w:p>
        </w:tc>
        <w:tc>
          <w:tcPr>
            <w:tcW w:w="8076" w:type="dxa"/>
            <w:tcBorders>
              <w:left w:val="nil"/>
              <w:right w:val="nil"/>
            </w:tcBorders>
          </w:tcPr>
          <w:p w:rsidR="00FA0FE3" w:rsidRPr="006A2095" w:rsidRDefault="00FA0FE3" w:rsidP="00D1231E">
            <w:pPr>
              <w:spacing w:after="200" w:line="360" w:lineRule="auto"/>
              <w:rPr>
                <w:rFonts w:ascii="Arial" w:eastAsia="Calibri" w:hAnsi="Arial" w:cs="Arial"/>
                <w:b/>
              </w:rPr>
            </w:pPr>
            <w:r w:rsidRPr="006A2095">
              <w:rPr>
                <w:rFonts w:ascii="Arial" w:eastAsia="Calibri" w:hAnsi="Arial" w:cs="Arial"/>
                <w:b/>
              </w:rPr>
              <w:t>HOW WELL</w:t>
            </w:r>
          </w:p>
        </w:tc>
      </w:tr>
      <w:tr w:rsidR="00FA0FE3" w:rsidRPr="006A2095" w:rsidTr="00D1231E">
        <w:tc>
          <w:tcPr>
            <w:tcW w:w="1280" w:type="dxa"/>
            <w:tcBorders>
              <w:right w:val="nil"/>
            </w:tcBorders>
          </w:tcPr>
          <w:p w:rsidR="00FA0FE3" w:rsidRPr="006A2095" w:rsidRDefault="00FA0FE3" w:rsidP="00D1231E">
            <w:pPr>
              <w:spacing w:after="200" w:line="360" w:lineRule="auto"/>
              <w:rPr>
                <w:rFonts w:ascii="Arial" w:eastAsia="Calibri" w:hAnsi="Arial" w:cs="Arial"/>
                <w:b/>
                <w:bCs/>
              </w:rPr>
            </w:pPr>
            <w:r w:rsidRPr="006A2095">
              <w:rPr>
                <w:rFonts w:ascii="Arial" w:eastAsia="Calibri" w:hAnsi="Arial" w:cs="Arial"/>
                <w:b/>
                <w:bCs/>
              </w:rPr>
              <w:t>11.</w:t>
            </w:r>
          </w:p>
        </w:tc>
        <w:tc>
          <w:tcPr>
            <w:tcW w:w="8076" w:type="dxa"/>
            <w:tcBorders>
              <w:left w:val="nil"/>
              <w:right w:val="nil"/>
            </w:tcBorders>
          </w:tcPr>
          <w:p w:rsidR="00FA0FE3" w:rsidRDefault="00FA0FE3" w:rsidP="00D1231E">
            <w:pPr>
              <w:spacing w:after="200" w:line="360" w:lineRule="auto"/>
              <w:rPr>
                <w:rFonts w:ascii="Arial" w:eastAsia="Calibri" w:hAnsi="Arial" w:cs="Arial"/>
                <w:lang w:eastAsia="zh-CN"/>
              </w:rPr>
            </w:pPr>
            <w:r w:rsidRPr="006A2095">
              <w:rPr>
                <w:rFonts w:ascii="Arial" w:eastAsia="Calibri" w:hAnsi="Arial" w:cs="Arial"/>
                <w:lang w:eastAsia="zh-CN"/>
              </w:rPr>
              <w:t xml:space="preserve">Planned: </w:t>
            </w:r>
          </w:p>
          <w:p w:rsidR="00FA0FE3" w:rsidRPr="00FE37BA" w:rsidRDefault="00FA0FE3" w:rsidP="00D1231E">
            <w:pPr>
              <w:spacing w:after="200" w:line="360" w:lineRule="auto"/>
              <w:rPr>
                <w:rFonts w:ascii="Arial" w:eastAsia="Calibri" w:hAnsi="Arial" w:cs="Arial"/>
                <w:lang w:val="en-US" w:eastAsia="zh-CN"/>
              </w:rPr>
            </w:pPr>
            <w:r w:rsidRPr="00FE37BA">
              <w:rPr>
                <w:rFonts w:ascii="Arial" w:eastAsia="Calibri" w:hAnsi="Arial" w:cs="Arial"/>
                <w:lang w:val="en-US" w:eastAsia="zh-CN"/>
              </w:rPr>
              <w:t>GP training workshop delivery was assessed using a workshop evaluation form.</w:t>
            </w:r>
          </w:p>
          <w:p w:rsidR="00FA0FE3" w:rsidRPr="00FE37BA" w:rsidRDefault="00FA0FE3" w:rsidP="00D1231E">
            <w:pPr>
              <w:spacing w:after="200" w:line="360" w:lineRule="auto"/>
              <w:contextualSpacing/>
              <w:rPr>
                <w:rFonts w:ascii="Arial" w:eastAsia="Calibri" w:hAnsi="Arial" w:cs="Arial"/>
                <w:lang w:val="en-US" w:eastAsia="zh-CN"/>
              </w:rPr>
            </w:pPr>
            <w:r w:rsidRPr="00FE37BA">
              <w:rPr>
                <w:rFonts w:ascii="Arial" w:eastAsia="Calibri" w:hAnsi="Arial" w:cs="Arial"/>
                <w:lang w:val="en-US" w:eastAsia="zh-CN"/>
              </w:rPr>
              <w:t>Intervention fidelity of general practitioners was assessed by:</w:t>
            </w:r>
          </w:p>
          <w:p w:rsidR="00FA0FE3" w:rsidRPr="00FE37BA" w:rsidRDefault="00FA0FE3" w:rsidP="00D1231E">
            <w:pPr>
              <w:numPr>
                <w:ilvl w:val="0"/>
                <w:numId w:val="4"/>
              </w:numPr>
              <w:spacing w:after="200" w:line="360" w:lineRule="auto"/>
              <w:contextualSpacing/>
              <w:rPr>
                <w:rFonts w:ascii="Arial" w:eastAsia="Calibri" w:hAnsi="Arial" w:cs="Arial"/>
                <w:lang w:val="en-US" w:eastAsia="zh-CN"/>
              </w:rPr>
            </w:pPr>
            <w:r w:rsidRPr="00FE37BA">
              <w:rPr>
                <w:rFonts w:ascii="Arial" w:eastAsia="Calibri" w:hAnsi="Arial" w:cs="Arial"/>
                <w:lang w:val="en-US" w:eastAsia="zh-CN"/>
              </w:rPr>
              <w:t xml:space="preserve">GP-recorded consultation content was </w:t>
            </w:r>
            <w:r w:rsidRPr="00FE37BA">
              <w:rPr>
                <w:rFonts w:ascii="Arial" w:eastAsia="Calibri" w:hAnsi="Arial" w:cs="Arial"/>
                <w:lang w:val="en-GB" w:eastAsia="zh-CN"/>
              </w:rPr>
              <w:t>coded by research nurses from electronic consultation notes using a structured template</w:t>
            </w:r>
            <w:r w:rsidRPr="00FE37BA">
              <w:rPr>
                <w:rFonts w:ascii="Arial" w:eastAsia="Calibri" w:hAnsi="Arial" w:cs="Arial"/>
                <w:lang w:val="en-US" w:eastAsia="zh-CN"/>
              </w:rPr>
              <w:t xml:space="preserve"> </w:t>
            </w:r>
          </w:p>
          <w:p w:rsidR="00FA0FE3" w:rsidRPr="00FE37BA" w:rsidRDefault="00FA0FE3" w:rsidP="00D1231E">
            <w:pPr>
              <w:numPr>
                <w:ilvl w:val="0"/>
                <w:numId w:val="4"/>
              </w:numPr>
              <w:spacing w:after="200" w:line="360" w:lineRule="auto"/>
              <w:contextualSpacing/>
              <w:rPr>
                <w:rFonts w:ascii="Arial" w:eastAsia="Calibri" w:hAnsi="Arial" w:cs="Arial"/>
                <w:lang w:val="en-US" w:eastAsia="zh-CN"/>
              </w:rPr>
            </w:pPr>
            <w:r w:rsidRPr="00FE37BA">
              <w:rPr>
                <w:rFonts w:ascii="Arial" w:eastAsia="Calibri" w:hAnsi="Arial" w:cs="Arial"/>
                <w:lang w:val="en-GB" w:eastAsia="zh-CN"/>
              </w:rPr>
              <w:t xml:space="preserve">Patient report of GP recommendations collected from the patients in their </w:t>
            </w:r>
            <w:r w:rsidRPr="00FE37BA">
              <w:rPr>
                <w:rFonts w:ascii="Arial" w:eastAsia="Calibri" w:hAnsi="Arial" w:cs="Arial"/>
                <w:lang w:val="en-GB" w:eastAsia="zh-CN"/>
              </w:rPr>
              <w:lastRenderedPageBreak/>
              <w:t>post-consultation data collection questionnaire</w:t>
            </w:r>
          </w:p>
          <w:p w:rsidR="00FA0FE3" w:rsidRPr="00FE37BA" w:rsidRDefault="00FA0FE3" w:rsidP="00D1231E">
            <w:pPr>
              <w:numPr>
                <w:ilvl w:val="0"/>
                <w:numId w:val="5"/>
              </w:numPr>
              <w:spacing w:after="200" w:line="360" w:lineRule="auto"/>
              <w:rPr>
                <w:rFonts w:ascii="Arial" w:eastAsia="Calibri" w:hAnsi="Arial" w:cs="Arial"/>
                <w:lang w:val="en-US" w:eastAsia="zh-CN"/>
              </w:rPr>
            </w:pPr>
            <w:r w:rsidRPr="00FE37BA">
              <w:rPr>
                <w:rFonts w:ascii="Arial" w:eastAsia="Calibri" w:hAnsi="Arial" w:cs="Arial"/>
                <w:lang w:val="en-US" w:eastAsia="zh-CN"/>
              </w:rPr>
              <w:t xml:space="preserve">Audio-recording of consultations. </w:t>
            </w:r>
            <w:r w:rsidRPr="00FE37BA">
              <w:rPr>
                <w:rFonts w:ascii="Arial" w:eastAsia="Calibri" w:hAnsi="Arial" w:cs="Arial"/>
                <w:lang w:val="en-GB" w:eastAsia="zh-CN"/>
              </w:rPr>
              <w:t xml:space="preserve">One audio-recording was randomly selected for each GP who had consented to audio-recording </w:t>
            </w:r>
            <w:r w:rsidRPr="00FE37BA">
              <w:rPr>
                <w:rFonts w:ascii="Arial" w:eastAsia="Calibri" w:hAnsi="Arial" w:cs="Arial"/>
                <w:u w:val="single"/>
                <w:lang w:val="en-GB" w:eastAsia="zh-CN"/>
              </w:rPr>
              <w:t>and</w:t>
            </w:r>
            <w:r w:rsidRPr="00FE37BA">
              <w:rPr>
                <w:rFonts w:ascii="Arial" w:eastAsia="Calibri" w:hAnsi="Arial" w:cs="Arial"/>
                <w:lang w:val="en-GB" w:eastAsia="zh-CN"/>
              </w:rPr>
              <w:t xml:space="preserve"> treated at least one patient participant who had also consented to recording. Recordings were analysed using a structured checklist containing multiple consultation behaviour items.</w:t>
            </w:r>
          </w:p>
          <w:p w:rsidR="00FA0FE3" w:rsidRPr="006A2095" w:rsidRDefault="00FA0FE3" w:rsidP="00D1231E">
            <w:pPr>
              <w:spacing w:after="200" w:line="360" w:lineRule="auto"/>
              <w:rPr>
                <w:rFonts w:ascii="Arial" w:eastAsia="Calibri" w:hAnsi="Arial" w:cs="Arial"/>
              </w:rPr>
            </w:pPr>
            <w:r w:rsidRPr="00FE37BA">
              <w:rPr>
                <w:rFonts w:ascii="Arial" w:eastAsia="Calibri" w:hAnsi="Arial" w:cs="Arial"/>
                <w:lang w:val="en-US" w:eastAsia="zh-CN"/>
              </w:rPr>
              <w:t>No active strategies were used to maintain or improve intervention fidelity, consistent with the pragmatic nature of the trial</w:t>
            </w:r>
            <w:proofErr w:type="gramStart"/>
            <w:r w:rsidRPr="00FE37BA">
              <w:rPr>
                <w:rFonts w:ascii="Arial" w:eastAsia="Calibri" w:hAnsi="Arial" w:cs="Arial"/>
                <w:lang w:val="en-US" w:eastAsia="zh-CN"/>
              </w:rPr>
              <w:t>.</w:t>
            </w:r>
            <w:r w:rsidRPr="006A2095">
              <w:rPr>
                <w:rFonts w:ascii="Arial" w:eastAsia="Calibri" w:hAnsi="Arial" w:cs="Arial"/>
                <w:lang w:eastAsia="zh-CN"/>
              </w:rPr>
              <w:t>.</w:t>
            </w:r>
            <w:proofErr w:type="gramEnd"/>
          </w:p>
        </w:tc>
      </w:tr>
      <w:tr w:rsidR="00FA0FE3" w:rsidRPr="006A2095" w:rsidTr="00D1231E">
        <w:tc>
          <w:tcPr>
            <w:tcW w:w="1280" w:type="dxa"/>
            <w:tcBorders>
              <w:bottom w:val="single" w:sz="4" w:space="0" w:color="auto"/>
              <w:right w:val="nil"/>
            </w:tcBorders>
          </w:tcPr>
          <w:p w:rsidR="00FA0FE3" w:rsidRPr="006A2095" w:rsidRDefault="00FA0FE3" w:rsidP="00D1231E">
            <w:pPr>
              <w:spacing w:after="200" w:line="360" w:lineRule="auto"/>
              <w:rPr>
                <w:rFonts w:ascii="Arial" w:eastAsia="Calibri" w:hAnsi="Arial" w:cs="Arial"/>
                <w:b/>
                <w:bCs/>
                <w:lang w:eastAsia="zh-CN"/>
              </w:rPr>
            </w:pPr>
            <w:r w:rsidRPr="006A2095">
              <w:rPr>
                <w:rFonts w:ascii="Arial" w:eastAsia="Calibri" w:hAnsi="Arial" w:cs="Arial"/>
                <w:b/>
                <w:bCs/>
              </w:rPr>
              <w:lastRenderedPageBreak/>
              <w:t>12.</w:t>
            </w:r>
            <w:r w:rsidRPr="006A2095">
              <w:rPr>
                <w:rFonts w:ascii="Arial" w:eastAsia="Times New Roman" w:hAnsi="Arial" w:cs="Arial"/>
                <w:b/>
                <w:bCs/>
                <w:color w:val="000000"/>
                <w:kern w:val="24"/>
                <w:vertAlign w:val="superscript"/>
                <w:lang w:val="en-GB" w:eastAsia="zh-CN"/>
              </w:rPr>
              <w:t>ǂ</w:t>
            </w:r>
          </w:p>
          <w:p w:rsidR="00FA0FE3" w:rsidRPr="006A2095" w:rsidRDefault="00FA0FE3" w:rsidP="00D1231E">
            <w:pPr>
              <w:spacing w:after="200" w:line="360" w:lineRule="auto"/>
              <w:rPr>
                <w:rFonts w:ascii="Arial" w:eastAsia="Calibri" w:hAnsi="Arial" w:cs="Arial"/>
              </w:rPr>
            </w:pPr>
          </w:p>
        </w:tc>
        <w:tc>
          <w:tcPr>
            <w:tcW w:w="8076" w:type="dxa"/>
            <w:tcBorders>
              <w:left w:val="nil"/>
              <w:bottom w:val="single" w:sz="4" w:space="0" w:color="auto"/>
              <w:right w:val="nil"/>
            </w:tcBorders>
          </w:tcPr>
          <w:p w:rsidR="00FA0FE3" w:rsidRDefault="00FA0FE3" w:rsidP="00D1231E">
            <w:pPr>
              <w:spacing w:after="200" w:line="360" w:lineRule="auto"/>
              <w:rPr>
                <w:rFonts w:ascii="Arial" w:eastAsia="Calibri" w:hAnsi="Arial" w:cs="Arial"/>
                <w:bCs/>
                <w:iCs/>
              </w:rPr>
            </w:pPr>
            <w:r w:rsidRPr="006A2095">
              <w:rPr>
                <w:rFonts w:ascii="Arial" w:eastAsia="Calibri" w:hAnsi="Arial" w:cs="Arial"/>
                <w:bCs/>
                <w:iCs/>
              </w:rPr>
              <w:t xml:space="preserve">Actual: </w:t>
            </w:r>
          </w:p>
          <w:p w:rsidR="00FA0FE3" w:rsidRPr="0035696F" w:rsidRDefault="00FA0FE3" w:rsidP="00D1231E">
            <w:pPr>
              <w:spacing w:after="200" w:line="360" w:lineRule="auto"/>
              <w:rPr>
                <w:rFonts w:ascii="Arial" w:eastAsia="Calibri" w:hAnsi="Arial" w:cs="Arial"/>
                <w:lang w:val="en-GB"/>
              </w:rPr>
            </w:pPr>
            <w:r w:rsidRPr="0035696F">
              <w:rPr>
                <w:rFonts w:ascii="Arial" w:eastAsia="Calibri" w:hAnsi="Arial" w:cs="Arial"/>
                <w:lang w:val="en-GB"/>
              </w:rPr>
              <w:t xml:space="preserve">Workshop evaluations were completed by 31 GPs in the FREE arm. These GPs </w:t>
            </w:r>
            <w:r>
              <w:rPr>
                <w:rFonts w:ascii="Arial" w:eastAsia="Calibri" w:hAnsi="Arial" w:cs="Arial"/>
                <w:lang w:val="en-GB"/>
              </w:rPr>
              <w:t>rated</w:t>
            </w:r>
            <w:r w:rsidRPr="0035696F">
              <w:rPr>
                <w:rFonts w:ascii="Arial" w:eastAsia="Calibri" w:hAnsi="Arial" w:cs="Arial"/>
                <w:lang w:val="en-GB"/>
              </w:rPr>
              <w:t xml:space="preserve"> the initial training workshop highly (see supplementary appendix for more detail). </w:t>
            </w:r>
          </w:p>
          <w:p w:rsidR="00FA0FE3" w:rsidRPr="0035696F" w:rsidRDefault="00FA0FE3" w:rsidP="00D1231E">
            <w:pPr>
              <w:spacing w:after="200" w:line="360" w:lineRule="auto"/>
              <w:rPr>
                <w:rFonts w:ascii="Arial" w:eastAsia="Calibri" w:hAnsi="Arial" w:cs="Arial"/>
                <w:lang w:val="en-GB"/>
              </w:rPr>
            </w:pPr>
            <w:r w:rsidRPr="0035696F">
              <w:rPr>
                <w:rFonts w:ascii="Arial" w:eastAsia="Calibri" w:hAnsi="Arial" w:cs="Arial"/>
                <w:lang w:val="en-GB"/>
              </w:rPr>
              <w:t xml:space="preserve">Analysis of GP clinical notes and patient report post-consultation found that intervention arm GPs delivered more guideline consistent care than control arm GPs. Patients who saw intervention arm GPs were more likely to report receiving advice to continue with normal activity (68·6%, 60·8 to 75·5 vs. 43·7%, 32·9 to 55·0) and less likely to report being referred for physiotherapy/osteopathy/chiropractic/acupuncture (24·6%, 16·4 to 35·1 vs. 68·0%, 58·2 to 76·4) (see supplementary appendix for more detail). </w:t>
            </w:r>
          </w:p>
          <w:p w:rsidR="00FA0FE3" w:rsidRPr="006A2095" w:rsidRDefault="00FA0FE3" w:rsidP="00D1231E">
            <w:pPr>
              <w:spacing w:after="200" w:line="360" w:lineRule="auto"/>
              <w:rPr>
                <w:rFonts w:ascii="Arial" w:eastAsia="Calibri" w:hAnsi="Arial" w:cs="Arial"/>
              </w:rPr>
            </w:pPr>
            <w:r w:rsidRPr="0035696F">
              <w:rPr>
                <w:rFonts w:ascii="Arial" w:eastAsia="Calibri" w:hAnsi="Arial" w:cs="Arial"/>
                <w:lang w:val="en-GB"/>
              </w:rPr>
              <w:t>Blinded analysis of one randomly selected audio-recording for each recruiting GP with available recordings found that 82.6% (61·2 to 95·0) of intervention GPs met the predefined threshold for FREE concordance compared with 0% (0·0 to 11·7) of control group GPs (see supplementary appendix for more detail).</w:t>
            </w:r>
          </w:p>
        </w:tc>
      </w:tr>
    </w:tbl>
    <w:p w:rsidR="00FA0FE3" w:rsidRDefault="00FA0FE3"/>
    <w:p w:rsidR="00B237C5" w:rsidRDefault="00B237C5" w:rsidP="00B237C5">
      <w:pPr>
        <w:rPr>
          <w:b/>
          <w:lang w:val="en-AU"/>
        </w:rPr>
      </w:pPr>
      <w:r>
        <w:rPr>
          <w:b/>
          <w:lang w:val="en-AU"/>
        </w:rPr>
        <w:t>REFERENCE</w:t>
      </w:r>
    </w:p>
    <w:p w:rsidR="00B237C5" w:rsidRPr="00DF77FC" w:rsidRDefault="00B237C5" w:rsidP="00B237C5">
      <w:pPr>
        <w:rPr>
          <w:lang w:val="en-AU"/>
        </w:rPr>
      </w:pPr>
      <w:r w:rsidRPr="00DF77FC">
        <w:rPr>
          <w:lang w:val="en-AU"/>
        </w:rPr>
        <w:t xml:space="preserve">Hoffmann T, </w:t>
      </w:r>
      <w:proofErr w:type="spellStart"/>
      <w:r w:rsidRPr="00DF77FC">
        <w:rPr>
          <w:lang w:val="en-AU"/>
        </w:rPr>
        <w:t>Glasziou</w:t>
      </w:r>
      <w:proofErr w:type="spellEnd"/>
      <w:r w:rsidRPr="00DF77FC">
        <w:rPr>
          <w:lang w:val="en-AU"/>
        </w:rPr>
        <w:t xml:space="preserve"> P, </w:t>
      </w:r>
      <w:proofErr w:type="spellStart"/>
      <w:r w:rsidRPr="00DF77FC">
        <w:rPr>
          <w:lang w:val="en-AU"/>
        </w:rPr>
        <w:t>Boutron</w:t>
      </w:r>
      <w:proofErr w:type="spellEnd"/>
      <w:r w:rsidRPr="00DF77FC">
        <w:rPr>
          <w:lang w:val="en-AU"/>
        </w:rPr>
        <w:t xml:space="preserve"> I, Milne R, Perera R, Moher D, Altman D, Barbour V, Macdonald H, Johnston M, Lamb S, Dixon-Woods M, McCulloch P, Wyatt J, Chan A, </w:t>
      </w:r>
      <w:proofErr w:type="spellStart"/>
      <w:r w:rsidRPr="00DF77FC">
        <w:rPr>
          <w:lang w:val="en-AU"/>
        </w:rPr>
        <w:t>Michie</w:t>
      </w:r>
      <w:proofErr w:type="spellEnd"/>
      <w:r w:rsidRPr="00DF77FC">
        <w:rPr>
          <w:lang w:val="en-AU"/>
        </w:rPr>
        <w:t xml:space="preserve"> S. Better reporting of interventions: template for intervention description and replication (</w:t>
      </w:r>
      <w:proofErr w:type="spellStart"/>
      <w:r w:rsidRPr="00DF77FC">
        <w:rPr>
          <w:lang w:val="en-AU"/>
        </w:rPr>
        <w:t>TIDieR</w:t>
      </w:r>
      <w:proofErr w:type="spellEnd"/>
      <w:r w:rsidRPr="00DF77FC">
        <w:rPr>
          <w:lang w:val="en-AU"/>
        </w:rPr>
        <w:t xml:space="preserve">) checklist and guide. </w:t>
      </w:r>
      <w:proofErr w:type="gramStart"/>
      <w:r w:rsidRPr="00DF77FC">
        <w:rPr>
          <w:lang w:val="en-AU"/>
        </w:rPr>
        <w:t>BMJ.</w:t>
      </w:r>
      <w:proofErr w:type="gramEnd"/>
      <w:r w:rsidRPr="00DF77FC">
        <w:rPr>
          <w:lang w:val="en-AU"/>
        </w:rPr>
        <w:t xml:space="preserve"> 2014</w:t>
      </w:r>
      <w:proofErr w:type="gramStart"/>
      <w:r w:rsidRPr="00DF77FC">
        <w:rPr>
          <w:lang w:val="en-AU"/>
        </w:rPr>
        <w:t>;348:g1687</w:t>
      </w:r>
      <w:proofErr w:type="gramEnd"/>
      <w:r w:rsidRPr="00DF77FC">
        <w:rPr>
          <w:lang w:val="en-AU"/>
        </w:rPr>
        <w:t>.</w:t>
      </w:r>
    </w:p>
    <w:p w:rsidR="00B237C5" w:rsidRDefault="00B237C5"/>
    <w:sectPr w:rsidR="00B23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16805"/>
    <w:multiLevelType w:val="hybridMultilevel"/>
    <w:tmpl w:val="BEAA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80039"/>
    <w:multiLevelType w:val="hybridMultilevel"/>
    <w:tmpl w:val="F5D6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D82EEC"/>
    <w:multiLevelType w:val="hybridMultilevel"/>
    <w:tmpl w:val="AD0E6B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C23B00"/>
    <w:multiLevelType w:val="hybridMultilevel"/>
    <w:tmpl w:val="819C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AC29CB"/>
    <w:multiLevelType w:val="hybridMultilevel"/>
    <w:tmpl w:val="3062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FE3"/>
    <w:rsid w:val="00453CEE"/>
    <w:rsid w:val="0062469C"/>
    <w:rsid w:val="007009D6"/>
    <w:rsid w:val="00715BFA"/>
    <w:rsid w:val="008D188F"/>
    <w:rsid w:val="00AB5DCA"/>
    <w:rsid w:val="00B237C5"/>
    <w:rsid w:val="00F549EF"/>
    <w:rsid w:val="00FA0FE3"/>
    <w:rsid w:val="00FA72DE"/>
    <w:rsid w:val="00FB3838"/>
    <w:rsid w:val="00FF5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A0FE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FE3"/>
    <w:rPr>
      <w:color w:val="0563C1" w:themeColor="hyperlink"/>
      <w:u w:val="single"/>
    </w:rPr>
  </w:style>
  <w:style w:type="table" w:styleId="TableGrid">
    <w:name w:val="Table Grid"/>
    <w:basedOn w:val="TableNormal"/>
    <w:uiPriority w:val="39"/>
    <w:rsid w:val="00FA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F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A0FE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0FE3"/>
    <w:rPr>
      <w:color w:val="0563C1" w:themeColor="hyperlink"/>
      <w:u w:val="single"/>
    </w:rPr>
  </w:style>
  <w:style w:type="table" w:styleId="TableGrid">
    <w:name w:val="Table Grid"/>
    <w:basedOn w:val="TableNormal"/>
    <w:uiPriority w:val="39"/>
    <w:rsid w:val="00FA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rialsjournal.biomedcentral.com/articles/10.1186/s13063-017-22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ialsjournal.biomedcentral.com/articles/10.1186/s13063-017-2225-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Darlow</dc:creator>
  <cp:lastModifiedBy>Frank-man</cp:lastModifiedBy>
  <cp:revision>2</cp:revision>
  <dcterms:created xsi:type="dcterms:W3CDTF">2019-09-11T02:13:00Z</dcterms:created>
  <dcterms:modified xsi:type="dcterms:W3CDTF">2019-09-11T02:13:00Z</dcterms:modified>
</cp:coreProperties>
</file>