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DC98" w14:textId="36B37042" w:rsidR="007B292A" w:rsidRDefault="00252599" w:rsidP="00252599">
      <w:pPr>
        <w:jc w:val="center"/>
        <w:rPr>
          <w:rFonts w:ascii="Arial" w:hAnsi="Arial" w:cs="Arial"/>
          <w:b/>
          <w:bCs/>
        </w:rPr>
      </w:pPr>
      <w:r>
        <w:rPr>
          <w:rFonts w:ascii="Arial" w:hAnsi="Arial" w:cs="Arial"/>
          <w:b/>
          <w:bCs/>
        </w:rPr>
        <w:t>Search Strategies</w:t>
      </w:r>
    </w:p>
    <w:p w14:paraId="1CE67682" w14:textId="77777777" w:rsidR="00252599" w:rsidRPr="00184469" w:rsidRDefault="00252599" w:rsidP="00252599">
      <w:pPr>
        <w:jc w:val="center"/>
        <w:rPr>
          <w:rFonts w:ascii="Arial" w:hAnsi="Arial" w:cs="Arial"/>
          <w:b/>
          <w:bCs/>
        </w:rPr>
      </w:pPr>
    </w:p>
    <w:p w14:paraId="5752A235" w14:textId="16B93EC7" w:rsidR="007B292A" w:rsidRDefault="00324E1A" w:rsidP="007B292A">
      <w:pPr>
        <w:rPr>
          <w:rFonts w:ascii="Arial" w:hAnsi="Arial" w:cs="Arial"/>
          <w:b/>
          <w:bCs/>
        </w:rPr>
      </w:pPr>
      <w:r w:rsidRPr="00184469">
        <w:rPr>
          <w:rFonts w:ascii="Arial" w:hAnsi="Arial" w:cs="Arial"/>
          <w:b/>
          <w:bCs/>
        </w:rPr>
        <w:t xml:space="preserve">I. </w:t>
      </w:r>
      <w:r w:rsidR="007B292A" w:rsidRPr="00184469">
        <w:rPr>
          <w:rFonts w:ascii="Arial" w:hAnsi="Arial" w:cs="Arial"/>
          <w:b/>
          <w:bCs/>
        </w:rPr>
        <w:t>Health promotion and disease prevention topics</w:t>
      </w:r>
    </w:p>
    <w:p w14:paraId="5BAA16C8" w14:textId="77777777" w:rsidR="005D097D" w:rsidRPr="00184469" w:rsidRDefault="005D097D" w:rsidP="007B292A">
      <w:pPr>
        <w:rPr>
          <w:rFonts w:ascii="Arial" w:hAnsi="Arial" w:cs="Arial"/>
          <w:b/>
          <w:bCs/>
        </w:rPr>
      </w:pPr>
    </w:p>
    <w:p w14:paraId="70B1364B" w14:textId="77777777" w:rsidR="005A356B" w:rsidRPr="00184469" w:rsidRDefault="002E29A6" w:rsidP="00465652">
      <w:pPr>
        <w:ind w:left="270"/>
        <w:rPr>
          <w:rFonts w:ascii="Arial" w:hAnsi="Arial" w:cs="Arial"/>
          <w:b/>
          <w:bCs/>
        </w:rPr>
      </w:pPr>
      <w:r w:rsidRPr="00184469">
        <w:rPr>
          <w:rFonts w:ascii="Arial" w:hAnsi="Arial" w:cs="Arial"/>
          <w:b/>
          <w:bCs/>
        </w:rPr>
        <w:t xml:space="preserve">1. </w:t>
      </w:r>
      <w:r w:rsidR="004C01B8" w:rsidRPr="00184469">
        <w:rPr>
          <w:rFonts w:ascii="Arial" w:hAnsi="Arial" w:cs="Arial"/>
          <w:b/>
          <w:bCs/>
        </w:rPr>
        <w:t xml:space="preserve">Health Promotion </w:t>
      </w:r>
      <w:r w:rsidR="005A356B" w:rsidRPr="00184469">
        <w:rPr>
          <w:rFonts w:ascii="Arial" w:hAnsi="Arial" w:cs="Arial"/>
          <w:b/>
          <w:bCs/>
        </w:rPr>
        <w:t>and disease prevention</w:t>
      </w:r>
    </w:p>
    <w:p w14:paraId="0F3F46D3" w14:textId="1612F798" w:rsidR="00146F30" w:rsidRPr="00184469" w:rsidRDefault="004C01B8" w:rsidP="00465652">
      <w:pPr>
        <w:ind w:left="270"/>
        <w:rPr>
          <w:rFonts w:ascii="Arial" w:hAnsi="Arial" w:cs="Arial"/>
        </w:rPr>
      </w:pPr>
      <w:proofErr w:type="spellStart"/>
      <w:r w:rsidRPr="00184469">
        <w:rPr>
          <w:rFonts w:ascii="Arial" w:hAnsi="Arial" w:cs="Arial"/>
        </w:rPr>
        <w:t>Pubmed</w:t>
      </w:r>
      <w:proofErr w:type="spellEnd"/>
      <w:r w:rsidRPr="00184469">
        <w:rPr>
          <w:rFonts w:ascii="Arial" w:hAnsi="Arial" w:cs="Arial"/>
        </w:rPr>
        <w:t xml:space="preserve"> </w:t>
      </w:r>
    </w:p>
    <w:tbl>
      <w:tblPr>
        <w:tblStyle w:val="TableGrid"/>
        <w:tblW w:w="9355" w:type="dxa"/>
        <w:tblInd w:w="265" w:type="dxa"/>
        <w:tblLayout w:type="fixed"/>
        <w:tblLook w:val="0600" w:firstRow="0" w:lastRow="0" w:firstColumn="0" w:lastColumn="0" w:noHBand="1" w:noVBand="1"/>
      </w:tblPr>
      <w:tblGrid>
        <w:gridCol w:w="570"/>
        <w:gridCol w:w="8785"/>
      </w:tblGrid>
      <w:tr w:rsidR="00BF54FD" w:rsidRPr="00184469" w14:paraId="0F3F46D8" w14:textId="77777777" w:rsidTr="00465652">
        <w:tc>
          <w:tcPr>
            <w:tcW w:w="570" w:type="dxa"/>
          </w:tcPr>
          <w:p w14:paraId="0F3F46D5" w14:textId="77777777" w:rsidR="00BF54FD" w:rsidRPr="006E3868" w:rsidRDefault="00BF54FD" w:rsidP="00465652">
            <w:pPr>
              <w:widowControl w:val="0"/>
              <w:pBdr>
                <w:top w:val="nil"/>
                <w:left w:val="nil"/>
                <w:bottom w:val="nil"/>
                <w:right w:val="nil"/>
                <w:between w:val="nil"/>
              </w:pBdr>
              <w:ind w:left="270"/>
              <w:rPr>
                <w:rFonts w:ascii="Arial" w:hAnsi="Arial" w:cs="Arial"/>
                <w:sz w:val="22"/>
                <w:szCs w:val="22"/>
              </w:rPr>
            </w:pPr>
            <w:r w:rsidRPr="006E3868">
              <w:rPr>
                <w:rFonts w:ascii="Arial" w:hAnsi="Arial" w:cs="Arial"/>
                <w:sz w:val="22"/>
                <w:szCs w:val="22"/>
              </w:rPr>
              <w:t>1</w:t>
            </w:r>
          </w:p>
        </w:tc>
        <w:tc>
          <w:tcPr>
            <w:tcW w:w="8785" w:type="dxa"/>
          </w:tcPr>
          <w:p w14:paraId="0F3F46D6" w14:textId="061D3BA8" w:rsidR="00BF54FD" w:rsidRPr="006E3868" w:rsidRDefault="00BF54FD" w:rsidP="00465652">
            <w:pPr>
              <w:widowControl w:val="0"/>
              <w:pBdr>
                <w:top w:val="nil"/>
                <w:left w:val="nil"/>
                <w:bottom w:val="nil"/>
                <w:right w:val="nil"/>
                <w:between w:val="nil"/>
              </w:pBdr>
              <w:ind w:left="270"/>
              <w:rPr>
                <w:rFonts w:ascii="Arial" w:hAnsi="Arial" w:cs="Arial"/>
                <w:sz w:val="22"/>
                <w:szCs w:val="22"/>
              </w:rPr>
            </w:pPr>
            <w:r w:rsidRPr="006E3868">
              <w:rPr>
                <w:rFonts w:ascii="Arial" w:hAnsi="Arial" w:cs="Arial"/>
                <w:sz w:val="22"/>
                <w:szCs w:val="22"/>
              </w:rPr>
              <w:t>health promotion and disease prevention</w:t>
            </w:r>
          </w:p>
        </w:tc>
      </w:tr>
      <w:tr w:rsidR="00BF54FD" w:rsidRPr="00184469" w14:paraId="0F3F46DC" w14:textId="77777777" w:rsidTr="00465652">
        <w:tc>
          <w:tcPr>
            <w:tcW w:w="570" w:type="dxa"/>
          </w:tcPr>
          <w:p w14:paraId="0F3F46D9" w14:textId="77777777" w:rsidR="00BF54FD" w:rsidRPr="006E3868" w:rsidRDefault="00BF54FD" w:rsidP="00465652">
            <w:pPr>
              <w:widowControl w:val="0"/>
              <w:pBdr>
                <w:top w:val="nil"/>
                <w:left w:val="nil"/>
                <w:bottom w:val="nil"/>
                <w:right w:val="nil"/>
                <w:between w:val="nil"/>
              </w:pBdr>
              <w:ind w:left="270"/>
              <w:rPr>
                <w:rFonts w:ascii="Arial" w:hAnsi="Arial" w:cs="Arial"/>
                <w:sz w:val="22"/>
                <w:szCs w:val="22"/>
              </w:rPr>
            </w:pPr>
            <w:r w:rsidRPr="006E3868">
              <w:rPr>
                <w:rFonts w:ascii="Arial" w:hAnsi="Arial" w:cs="Arial"/>
                <w:sz w:val="22"/>
                <w:szCs w:val="22"/>
              </w:rPr>
              <w:t>2</w:t>
            </w:r>
          </w:p>
        </w:tc>
        <w:tc>
          <w:tcPr>
            <w:tcW w:w="8785" w:type="dxa"/>
          </w:tcPr>
          <w:p w14:paraId="0F3F46DA" w14:textId="77777777" w:rsidR="00BF54FD" w:rsidRPr="006E3868" w:rsidRDefault="00BF54FD" w:rsidP="00465652">
            <w:pPr>
              <w:widowControl w:val="0"/>
              <w:pBdr>
                <w:top w:val="nil"/>
                <w:left w:val="nil"/>
                <w:bottom w:val="nil"/>
                <w:right w:val="nil"/>
                <w:between w:val="nil"/>
              </w:pBdr>
              <w:ind w:left="270"/>
              <w:rPr>
                <w:rFonts w:ascii="Arial" w:hAnsi="Arial" w:cs="Arial"/>
                <w:sz w:val="22"/>
                <w:szCs w:val="22"/>
              </w:rPr>
            </w:pPr>
            <w:r w:rsidRPr="006E3868">
              <w:rPr>
                <w:rFonts w:ascii="Arial" w:hAnsi="Arial" w:cs="Arial"/>
                <w:sz w:val="22"/>
                <w:szCs w:val="22"/>
              </w:rPr>
              <w:t>1 limit date to 2018-2020</w:t>
            </w:r>
          </w:p>
        </w:tc>
      </w:tr>
      <w:tr w:rsidR="00BF54FD" w:rsidRPr="00184469" w14:paraId="0F3F46E0" w14:textId="77777777" w:rsidTr="00465652">
        <w:tc>
          <w:tcPr>
            <w:tcW w:w="570" w:type="dxa"/>
          </w:tcPr>
          <w:p w14:paraId="0F3F46DD" w14:textId="77777777" w:rsidR="00BF54FD" w:rsidRPr="006E3868" w:rsidRDefault="00BF54FD" w:rsidP="00465652">
            <w:pPr>
              <w:widowControl w:val="0"/>
              <w:pBdr>
                <w:top w:val="nil"/>
                <w:left w:val="nil"/>
                <w:bottom w:val="nil"/>
                <w:right w:val="nil"/>
                <w:between w:val="nil"/>
              </w:pBdr>
              <w:ind w:left="270"/>
              <w:rPr>
                <w:rFonts w:ascii="Arial" w:hAnsi="Arial" w:cs="Arial"/>
                <w:sz w:val="22"/>
                <w:szCs w:val="22"/>
              </w:rPr>
            </w:pPr>
            <w:r w:rsidRPr="006E3868">
              <w:rPr>
                <w:rFonts w:ascii="Arial" w:hAnsi="Arial" w:cs="Arial"/>
                <w:sz w:val="22"/>
                <w:szCs w:val="22"/>
              </w:rPr>
              <w:t>3</w:t>
            </w:r>
          </w:p>
        </w:tc>
        <w:tc>
          <w:tcPr>
            <w:tcW w:w="8785" w:type="dxa"/>
          </w:tcPr>
          <w:p w14:paraId="0F3F46DE" w14:textId="42BDF431" w:rsidR="00BF54FD" w:rsidRPr="006E3868" w:rsidRDefault="00BF54FD" w:rsidP="00465652">
            <w:pPr>
              <w:ind w:left="270"/>
              <w:rPr>
                <w:rFonts w:ascii="Arial" w:hAnsi="Arial" w:cs="Arial"/>
                <w:sz w:val="22"/>
                <w:szCs w:val="22"/>
              </w:rPr>
            </w:pPr>
            <w:r w:rsidRPr="006E3868">
              <w:rPr>
                <w:rFonts w:ascii="Arial" w:hAnsi="Arial" w:cs="Arial"/>
                <w:sz w:val="22"/>
                <w:szCs w:val="22"/>
              </w:rPr>
              <w:t xml:space="preserve">2 </w:t>
            </w:r>
            <w:proofErr w:type="gramStart"/>
            <w:r w:rsidRPr="006E3868">
              <w:rPr>
                <w:rFonts w:ascii="Arial" w:hAnsi="Arial" w:cs="Arial"/>
                <w:sz w:val="22"/>
                <w:szCs w:val="22"/>
              </w:rPr>
              <w:t>limit</w:t>
            </w:r>
            <w:proofErr w:type="gramEnd"/>
            <w:r w:rsidRPr="006E3868">
              <w:rPr>
                <w:rFonts w:ascii="Arial" w:hAnsi="Arial" w:cs="Arial"/>
                <w:sz w:val="22"/>
                <w:szCs w:val="22"/>
              </w:rPr>
              <w:t xml:space="preserve"> by Article Type: Practice Guideline, Guideline</w:t>
            </w:r>
          </w:p>
        </w:tc>
      </w:tr>
      <w:tr w:rsidR="00BF54FD" w:rsidRPr="00184469" w14:paraId="0F3F46E4" w14:textId="77777777" w:rsidTr="00465652">
        <w:tc>
          <w:tcPr>
            <w:tcW w:w="570" w:type="dxa"/>
          </w:tcPr>
          <w:p w14:paraId="0F3F46E1" w14:textId="77777777" w:rsidR="00BF54FD" w:rsidRPr="006E3868" w:rsidRDefault="00BF54FD" w:rsidP="00465652">
            <w:pPr>
              <w:widowControl w:val="0"/>
              <w:pBdr>
                <w:top w:val="nil"/>
                <w:left w:val="nil"/>
                <w:bottom w:val="nil"/>
                <w:right w:val="nil"/>
                <w:between w:val="nil"/>
              </w:pBdr>
              <w:ind w:left="270"/>
              <w:rPr>
                <w:rFonts w:ascii="Arial" w:hAnsi="Arial" w:cs="Arial"/>
                <w:sz w:val="22"/>
                <w:szCs w:val="22"/>
              </w:rPr>
            </w:pPr>
            <w:r w:rsidRPr="006E3868">
              <w:rPr>
                <w:rFonts w:ascii="Arial" w:hAnsi="Arial" w:cs="Arial"/>
                <w:sz w:val="22"/>
                <w:szCs w:val="22"/>
              </w:rPr>
              <w:t>4</w:t>
            </w:r>
          </w:p>
        </w:tc>
        <w:tc>
          <w:tcPr>
            <w:tcW w:w="8785" w:type="dxa"/>
          </w:tcPr>
          <w:p w14:paraId="0F3F46E2" w14:textId="77777777" w:rsidR="00BF54FD" w:rsidRPr="006E3868" w:rsidRDefault="00BF54FD" w:rsidP="00465652">
            <w:pPr>
              <w:ind w:left="270"/>
              <w:rPr>
                <w:rFonts w:ascii="Arial" w:hAnsi="Arial" w:cs="Arial"/>
                <w:sz w:val="22"/>
                <w:szCs w:val="22"/>
              </w:rPr>
            </w:pPr>
            <w:r w:rsidRPr="006E3868">
              <w:rPr>
                <w:rFonts w:ascii="Arial" w:hAnsi="Arial" w:cs="Arial"/>
                <w:sz w:val="22"/>
                <w:szCs w:val="22"/>
              </w:rPr>
              <w:t xml:space="preserve">3 </w:t>
            </w:r>
            <w:proofErr w:type="gramStart"/>
            <w:r w:rsidRPr="006E3868">
              <w:rPr>
                <w:rFonts w:ascii="Arial" w:hAnsi="Arial" w:cs="Arial"/>
                <w:sz w:val="22"/>
                <w:szCs w:val="22"/>
              </w:rPr>
              <w:t>limit</w:t>
            </w:r>
            <w:proofErr w:type="gramEnd"/>
            <w:r w:rsidRPr="006E3868">
              <w:rPr>
                <w:rFonts w:ascii="Arial" w:hAnsi="Arial" w:cs="Arial"/>
                <w:sz w:val="22"/>
                <w:szCs w:val="22"/>
              </w:rPr>
              <w:t xml:space="preserve"> to English language</w:t>
            </w:r>
          </w:p>
        </w:tc>
      </w:tr>
    </w:tbl>
    <w:p w14:paraId="1EBDCCEA" w14:textId="2EF88749" w:rsidR="00897430" w:rsidRPr="00184469" w:rsidRDefault="00897430" w:rsidP="00465652">
      <w:pPr>
        <w:ind w:left="270"/>
        <w:rPr>
          <w:rFonts w:ascii="Arial" w:hAnsi="Arial" w:cs="Arial"/>
          <w:b/>
          <w:highlight w:val="yellow"/>
        </w:rPr>
      </w:pPr>
    </w:p>
    <w:p w14:paraId="734705F7" w14:textId="19AE7E80" w:rsidR="002A36C9" w:rsidRPr="00184469" w:rsidRDefault="004C01B8" w:rsidP="00465652">
      <w:pPr>
        <w:ind w:left="270"/>
        <w:rPr>
          <w:rFonts w:ascii="Arial" w:hAnsi="Arial" w:cs="Arial"/>
          <w:b/>
          <w:i/>
        </w:rPr>
      </w:pPr>
      <w:r w:rsidRPr="00184469">
        <w:rPr>
          <w:rFonts w:ascii="Arial" w:hAnsi="Arial" w:cs="Arial"/>
          <w:b/>
        </w:rPr>
        <w:t>2</w:t>
      </w:r>
      <w:r w:rsidR="002E29A6" w:rsidRPr="00184469">
        <w:rPr>
          <w:rFonts w:ascii="Arial" w:hAnsi="Arial" w:cs="Arial"/>
          <w:b/>
        </w:rPr>
        <w:t>.</w:t>
      </w:r>
      <w:r w:rsidR="0068047A" w:rsidRPr="00184469">
        <w:rPr>
          <w:rFonts w:ascii="Arial" w:hAnsi="Arial" w:cs="Arial"/>
          <w:b/>
        </w:rPr>
        <w:t xml:space="preserve"> </w:t>
      </w:r>
      <w:r w:rsidR="002A36C9" w:rsidRPr="00184469">
        <w:rPr>
          <w:rFonts w:ascii="Arial" w:hAnsi="Arial" w:cs="Arial"/>
          <w:b/>
          <w:iCs/>
        </w:rPr>
        <w:t>Weight Management</w:t>
      </w:r>
      <w:r w:rsidR="0068047A" w:rsidRPr="00184469">
        <w:rPr>
          <w:rFonts w:ascii="Arial" w:hAnsi="Arial" w:cs="Arial"/>
          <w:b/>
          <w:iCs/>
        </w:rPr>
        <w:t>, physical activity,</w:t>
      </w:r>
      <w:r w:rsidR="002A36C9" w:rsidRPr="00184469">
        <w:rPr>
          <w:rFonts w:ascii="Arial" w:hAnsi="Arial" w:cs="Arial"/>
          <w:b/>
          <w:iCs/>
        </w:rPr>
        <w:t xml:space="preserve"> diet </w:t>
      </w:r>
    </w:p>
    <w:p w14:paraId="0F3F46F1" w14:textId="44BE6810" w:rsidR="00146F30" w:rsidRPr="00184469" w:rsidRDefault="005A356B" w:rsidP="00465652">
      <w:pPr>
        <w:ind w:left="270"/>
        <w:rPr>
          <w:rFonts w:ascii="Arial" w:hAnsi="Arial" w:cs="Arial"/>
          <w:b/>
        </w:rPr>
      </w:pPr>
      <w:r w:rsidRPr="00184469">
        <w:rPr>
          <w:rFonts w:ascii="Arial" w:hAnsi="Arial" w:cs="Arial"/>
          <w:b/>
        </w:rPr>
        <w:t xml:space="preserve">    2a. </w:t>
      </w:r>
      <w:r w:rsidR="004C01B8" w:rsidRPr="00184469">
        <w:rPr>
          <w:rFonts w:ascii="Arial" w:hAnsi="Arial" w:cs="Arial"/>
          <w:b/>
        </w:rPr>
        <w:t xml:space="preserve">Weight </w:t>
      </w:r>
      <w:r w:rsidR="00D36D30" w:rsidRPr="00184469">
        <w:rPr>
          <w:rFonts w:ascii="Arial" w:hAnsi="Arial" w:cs="Arial"/>
          <w:b/>
        </w:rPr>
        <w:t>m</w:t>
      </w:r>
      <w:r w:rsidR="004C01B8" w:rsidRPr="00184469">
        <w:rPr>
          <w:rFonts w:ascii="Arial" w:hAnsi="Arial" w:cs="Arial"/>
          <w:b/>
        </w:rPr>
        <w:t xml:space="preserve">anagement and </w:t>
      </w:r>
      <w:r w:rsidR="00D36D30" w:rsidRPr="00184469">
        <w:rPr>
          <w:rFonts w:ascii="Arial" w:hAnsi="Arial" w:cs="Arial"/>
          <w:b/>
        </w:rPr>
        <w:t>p</w:t>
      </w:r>
      <w:r w:rsidR="004C01B8" w:rsidRPr="00184469">
        <w:rPr>
          <w:rFonts w:ascii="Arial" w:hAnsi="Arial" w:cs="Arial"/>
          <w:b/>
        </w:rPr>
        <w:t xml:space="preserve">hysical </w:t>
      </w:r>
      <w:r w:rsidR="00D36D30" w:rsidRPr="00184469">
        <w:rPr>
          <w:rFonts w:ascii="Arial" w:hAnsi="Arial" w:cs="Arial"/>
          <w:b/>
        </w:rPr>
        <w:t>a</w:t>
      </w:r>
      <w:r w:rsidR="004C01B8" w:rsidRPr="00184469">
        <w:rPr>
          <w:rFonts w:ascii="Arial" w:hAnsi="Arial" w:cs="Arial"/>
          <w:b/>
        </w:rPr>
        <w:t>ctivity</w:t>
      </w:r>
    </w:p>
    <w:p w14:paraId="0F3F46F8" w14:textId="0944CBE5" w:rsidR="00146F30" w:rsidRPr="00184469" w:rsidRDefault="004C01B8" w:rsidP="00465652">
      <w:pPr>
        <w:ind w:left="270"/>
        <w:rPr>
          <w:rFonts w:ascii="Arial" w:hAnsi="Arial" w:cs="Arial"/>
        </w:rPr>
      </w:pPr>
      <w:r w:rsidRPr="00184469">
        <w:rPr>
          <w:rFonts w:ascii="Arial" w:hAnsi="Arial" w:cs="Arial"/>
        </w:rPr>
        <w:t xml:space="preserve">PubMed </w:t>
      </w:r>
    </w:p>
    <w:tbl>
      <w:tblPr>
        <w:tblStyle w:val="TableGrid"/>
        <w:tblW w:w="9355" w:type="dxa"/>
        <w:tblInd w:w="175" w:type="dxa"/>
        <w:tblLayout w:type="fixed"/>
        <w:tblLook w:val="0600" w:firstRow="0" w:lastRow="0" w:firstColumn="0" w:lastColumn="0" w:noHBand="1" w:noVBand="1"/>
      </w:tblPr>
      <w:tblGrid>
        <w:gridCol w:w="570"/>
        <w:gridCol w:w="8785"/>
      </w:tblGrid>
      <w:tr w:rsidR="00D36D30" w:rsidRPr="00184469" w14:paraId="0F3F46FD" w14:textId="77777777" w:rsidTr="00465652">
        <w:tc>
          <w:tcPr>
            <w:tcW w:w="570" w:type="dxa"/>
          </w:tcPr>
          <w:p w14:paraId="0F3F46FA" w14:textId="77777777" w:rsidR="00D36D30" w:rsidRPr="006E3868" w:rsidRDefault="00D36D30" w:rsidP="00465652">
            <w:pPr>
              <w:widowControl w:val="0"/>
              <w:ind w:left="270"/>
              <w:rPr>
                <w:rFonts w:ascii="Arial" w:hAnsi="Arial" w:cs="Arial"/>
                <w:sz w:val="22"/>
                <w:szCs w:val="22"/>
              </w:rPr>
            </w:pPr>
            <w:r w:rsidRPr="006E3868">
              <w:rPr>
                <w:rFonts w:ascii="Arial" w:hAnsi="Arial" w:cs="Arial"/>
                <w:sz w:val="22"/>
                <w:szCs w:val="22"/>
              </w:rPr>
              <w:t>1</w:t>
            </w:r>
          </w:p>
        </w:tc>
        <w:tc>
          <w:tcPr>
            <w:tcW w:w="8785" w:type="dxa"/>
          </w:tcPr>
          <w:p w14:paraId="0F3F46FB" w14:textId="77777777" w:rsidR="00D36D30" w:rsidRPr="006E3868" w:rsidRDefault="00D36D30" w:rsidP="00465652">
            <w:pPr>
              <w:widowControl w:val="0"/>
              <w:ind w:left="270"/>
              <w:rPr>
                <w:rFonts w:ascii="Arial" w:hAnsi="Arial" w:cs="Arial"/>
                <w:sz w:val="22"/>
                <w:szCs w:val="22"/>
              </w:rPr>
            </w:pPr>
            <w:r w:rsidRPr="006E3868">
              <w:rPr>
                <w:rFonts w:ascii="Arial" w:hAnsi="Arial" w:cs="Arial"/>
                <w:sz w:val="22"/>
                <w:szCs w:val="22"/>
              </w:rPr>
              <w:t>weight management or overweight</w:t>
            </w:r>
          </w:p>
        </w:tc>
      </w:tr>
      <w:tr w:rsidR="00D36D30" w:rsidRPr="00184469" w14:paraId="0F3F4701" w14:textId="77777777" w:rsidTr="00465652">
        <w:tc>
          <w:tcPr>
            <w:tcW w:w="570" w:type="dxa"/>
          </w:tcPr>
          <w:p w14:paraId="0F3F46FE" w14:textId="77777777" w:rsidR="00D36D30" w:rsidRPr="006E3868" w:rsidRDefault="00D36D30" w:rsidP="00465652">
            <w:pPr>
              <w:widowControl w:val="0"/>
              <w:ind w:left="270"/>
              <w:rPr>
                <w:rFonts w:ascii="Arial" w:hAnsi="Arial" w:cs="Arial"/>
                <w:sz w:val="22"/>
                <w:szCs w:val="22"/>
              </w:rPr>
            </w:pPr>
            <w:r w:rsidRPr="006E3868">
              <w:rPr>
                <w:rFonts w:ascii="Arial" w:hAnsi="Arial" w:cs="Arial"/>
                <w:sz w:val="22"/>
                <w:szCs w:val="22"/>
              </w:rPr>
              <w:t>2</w:t>
            </w:r>
          </w:p>
        </w:tc>
        <w:tc>
          <w:tcPr>
            <w:tcW w:w="8785" w:type="dxa"/>
          </w:tcPr>
          <w:p w14:paraId="0F3F46FF" w14:textId="77777777" w:rsidR="00D36D30" w:rsidRPr="006E3868" w:rsidRDefault="00D36D30" w:rsidP="00465652">
            <w:pPr>
              <w:widowControl w:val="0"/>
              <w:ind w:left="270"/>
              <w:rPr>
                <w:rFonts w:ascii="Arial" w:hAnsi="Arial" w:cs="Arial"/>
                <w:sz w:val="22"/>
                <w:szCs w:val="22"/>
              </w:rPr>
            </w:pPr>
            <w:r w:rsidRPr="006E3868">
              <w:rPr>
                <w:rFonts w:ascii="Arial" w:hAnsi="Arial" w:cs="Arial"/>
                <w:sz w:val="22"/>
                <w:szCs w:val="22"/>
              </w:rPr>
              <w:t>exercise or physical activity</w:t>
            </w:r>
          </w:p>
        </w:tc>
      </w:tr>
      <w:tr w:rsidR="00D36D30" w:rsidRPr="00184469" w14:paraId="0F3F4705" w14:textId="77777777" w:rsidTr="00465652">
        <w:tc>
          <w:tcPr>
            <w:tcW w:w="570" w:type="dxa"/>
          </w:tcPr>
          <w:p w14:paraId="0F3F4702" w14:textId="77777777" w:rsidR="00D36D30" w:rsidRPr="006E3868" w:rsidRDefault="00D36D30" w:rsidP="00465652">
            <w:pPr>
              <w:widowControl w:val="0"/>
              <w:ind w:left="270"/>
              <w:rPr>
                <w:rFonts w:ascii="Arial" w:hAnsi="Arial" w:cs="Arial"/>
                <w:sz w:val="22"/>
                <w:szCs w:val="22"/>
              </w:rPr>
            </w:pPr>
            <w:r w:rsidRPr="006E3868">
              <w:rPr>
                <w:rFonts w:ascii="Arial" w:hAnsi="Arial" w:cs="Arial"/>
                <w:sz w:val="22"/>
                <w:szCs w:val="22"/>
              </w:rPr>
              <w:t>3</w:t>
            </w:r>
          </w:p>
        </w:tc>
        <w:tc>
          <w:tcPr>
            <w:tcW w:w="8785" w:type="dxa"/>
          </w:tcPr>
          <w:p w14:paraId="0F3F4703" w14:textId="77777777" w:rsidR="00D36D30" w:rsidRPr="006E3868" w:rsidRDefault="00D36D30" w:rsidP="00465652">
            <w:pPr>
              <w:ind w:left="270"/>
              <w:rPr>
                <w:rFonts w:ascii="Arial" w:hAnsi="Arial" w:cs="Arial"/>
                <w:sz w:val="22"/>
                <w:szCs w:val="22"/>
              </w:rPr>
            </w:pPr>
            <w:r w:rsidRPr="006E3868">
              <w:rPr>
                <w:rFonts w:ascii="Arial" w:hAnsi="Arial" w:cs="Arial"/>
                <w:sz w:val="22"/>
                <w:szCs w:val="22"/>
              </w:rPr>
              <w:t>1 AND 2</w:t>
            </w:r>
          </w:p>
        </w:tc>
      </w:tr>
      <w:tr w:rsidR="00D36D30" w:rsidRPr="00184469" w14:paraId="0F3F4709" w14:textId="77777777" w:rsidTr="00465652">
        <w:tc>
          <w:tcPr>
            <w:tcW w:w="570" w:type="dxa"/>
          </w:tcPr>
          <w:p w14:paraId="0F3F4706" w14:textId="77777777" w:rsidR="00D36D30" w:rsidRPr="006E3868" w:rsidRDefault="00D36D30" w:rsidP="00465652">
            <w:pPr>
              <w:widowControl w:val="0"/>
              <w:ind w:left="270"/>
              <w:rPr>
                <w:rFonts w:ascii="Arial" w:hAnsi="Arial" w:cs="Arial"/>
                <w:sz w:val="22"/>
                <w:szCs w:val="22"/>
              </w:rPr>
            </w:pPr>
            <w:r w:rsidRPr="006E3868">
              <w:rPr>
                <w:rFonts w:ascii="Arial" w:hAnsi="Arial" w:cs="Arial"/>
                <w:sz w:val="22"/>
                <w:szCs w:val="22"/>
              </w:rPr>
              <w:t>4</w:t>
            </w:r>
          </w:p>
        </w:tc>
        <w:tc>
          <w:tcPr>
            <w:tcW w:w="8785" w:type="dxa"/>
          </w:tcPr>
          <w:p w14:paraId="0F3F4707" w14:textId="77777777" w:rsidR="00D36D30" w:rsidRPr="006E3868" w:rsidRDefault="00D36D30" w:rsidP="00465652">
            <w:pPr>
              <w:ind w:left="270"/>
              <w:rPr>
                <w:rFonts w:ascii="Arial" w:hAnsi="Arial" w:cs="Arial"/>
                <w:sz w:val="22"/>
                <w:szCs w:val="22"/>
              </w:rPr>
            </w:pPr>
            <w:r w:rsidRPr="006E3868">
              <w:rPr>
                <w:rFonts w:ascii="Arial" w:hAnsi="Arial" w:cs="Arial"/>
                <w:sz w:val="22"/>
                <w:szCs w:val="22"/>
              </w:rPr>
              <w:t>3 limit date 2018-2020</w:t>
            </w:r>
          </w:p>
        </w:tc>
      </w:tr>
      <w:tr w:rsidR="00D36D30" w:rsidRPr="00184469" w14:paraId="0F3F470D" w14:textId="77777777" w:rsidTr="00465652">
        <w:tc>
          <w:tcPr>
            <w:tcW w:w="570" w:type="dxa"/>
          </w:tcPr>
          <w:p w14:paraId="0F3F470A" w14:textId="77777777" w:rsidR="00D36D30" w:rsidRPr="006E3868" w:rsidRDefault="00D36D30" w:rsidP="00465652">
            <w:pPr>
              <w:widowControl w:val="0"/>
              <w:ind w:left="270"/>
              <w:rPr>
                <w:rFonts w:ascii="Arial" w:hAnsi="Arial" w:cs="Arial"/>
                <w:sz w:val="22"/>
                <w:szCs w:val="22"/>
              </w:rPr>
            </w:pPr>
            <w:r w:rsidRPr="006E3868">
              <w:rPr>
                <w:rFonts w:ascii="Arial" w:hAnsi="Arial" w:cs="Arial"/>
                <w:sz w:val="22"/>
                <w:szCs w:val="22"/>
              </w:rPr>
              <w:t>5</w:t>
            </w:r>
          </w:p>
        </w:tc>
        <w:tc>
          <w:tcPr>
            <w:tcW w:w="8785" w:type="dxa"/>
          </w:tcPr>
          <w:p w14:paraId="0F3F470B" w14:textId="266F44A2" w:rsidR="00D36D30" w:rsidRPr="006E3868" w:rsidRDefault="00D36D30" w:rsidP="00465652">
            <w:pPr>
              <w:ind w:left="270"/>
              <w:rPr>
                <w:rFonts w:ascii="Arial" w:hAnsi="Arial" w:cs="Arial"/>
                <w:sz w:val="22"/>
                <w:szCs w:val="22"/>
              </w:rPr>
            </w:pPr>
            <w:r w:rsidRPr="006E3868">
              <w:rPr>
                <w:rFonts w:ascii="Arial" w:hAnsi="Arial" w:cs="Arial"/>
                <w:sz w:val="22"/>
                <w:szCs w:val="22"/>
              </w:rPr>
              <w:t xml:space="preserve">4 </w:t>
            </w:r>
            <w:proofErr w:type="gramStart"/>
            <w:r w:rsidRPr="006E3868">
              <w:rPr>
                <w:rFonts w:ascii="Arial" w:hAnsi="Arial" w:cs="Arial"/>
                <w:sz w:val="22"/>
                <w:szCs w:val="22"/>
              </w:rPr>
              <w:t>limit</w:t>
            </w:r>
            <w:proofErr w:type="gramEnd"/>
            <w:r w:rsidRPr="006E3868">
              <w:rPr>
                <w:rFonts w:ascii="Arial" w:hAnsi="Arial" w:cs="Arial"/>
                <w:sz w:val="22"/>
                <w:szCs w:val="22"/>
              </w:rPr>
              <w:t xml:space="preserve"> by Article Type: Practice Guideline, Guideline</w:t>
            </w:r>
          </w:p>
        </w:tc>
      </w:tr>
      <w:tr w:rsidR="00D36D30" w:rsidRPr="00184469" w14:paraId="0F3F4711" w14:textId="77777777" w:rsidTr="00465652">
        <w:tc>
          <w:tcPr>
            <w:tcW w:w="570" w:type="dxa"/>
          </w:tcPr>
          <w:p w14:paraId="0F3F470E" w14:textId="77777777" w:rsidR="00D36D30" w:rsidRPr="006E3868" w:rsidRDefault="00D36D30" w:rsidP="00465652">
            <w:pPr>
              <w:widowControl w:val="0"/>
              <w:ind w:left="270"/>
              <w:rPr>
                <w:rFonts w:ascii="Arial" w:hAnsi="Arial" w:cs="Arial"/>
                <w:sz w:val="22"/>
                <w:szCs w:val="22"/>
              </w:rPr>
            </w:pPr>
            <w:r w:rsidRPr="006E3868">
              <w:rPr>
                <w:rFonts w:ascii="Arial" w:hAnsi="Arial" w:cs="Arial"/>
                <w:sz w:val="22"/>
                <w:szCs w:val="22"/>
              </w:rPr>
              <w:t>6</w:t>
            </w:r>
          </w:p>
        </w:tc>
        <w:tc>
          <w:tcPr>
            <w:tcW w:w="8785" w:type="dxa"/>
          </w:tcPr>
          <w:p w14:paraId="0F3F470F" w14:textId="77777777" w:rsidR="00D36D30" w:rsidRPr="006E3868" w:rsidRDefault="00D36D30" w:rsidP="00465652">
            <w:pPr>
              <w:ind w:left="270"/>
              <w:rPr>
                <w:rFonts w:ascii="Arial" w:hAnsi="Arial" w:cs="Arial"/>
                <w:sz w:val="22"/>
                <w:szCs w:val="22"/>
              </w:rPr>
            </w:pPr>
            <w:r w:rsidRPr="006E3868">
              <w:rPr>
                <w:rFonts w:ascii="Arial" w:hAnsi="Arial" w:cs="Arial"/>
                <w:sz w:val="22"/>
                <w:szCs w:val="22"/>
              </w:rPr>
              <w:t xml:space="preserve">5 </w:t>
            </w:r>
            <w:proofErr w:type="gramStart"/>
            <w:r w:rsidRPr="006E3868">
              <w:rPr>
                <w:rFonts w:ascii="Arial" w:hAnsi="Arial" w:cs="Arial"/>
                <w:sz w:val="22"/>
                <w:szCs w:val="22"/>
              </w:rPr>
              <w:t>limit</w:t>
            </w:r>
            <w:proofErr w:type="gramEnd"/>
            <w:r w:rsidRPr="006E3868">
              <w:rPr>
                <w:rFonts w:ascii="Arial" w:hAnsi="Arial" w:cs="Arial"/>
                <w:sz w:val="22"/>
                <w:szCs w:val="22"/>
              </w:rPr>
              <w:t xml:space="preserve"> to English language</w:t>
            </w:r>
          </w:p>
        </w:tc>
      </w:tr>
    </w:tbl>
    <w:p w14:paraId="0CC03A0B" w14:textId="77777777" w:rsidR="00D36D30" w:rsidRPr="00184469" w:rsidRDefault="00D36D30" w:rsidP="00465652">
      <w:pPr>
        <w:ind w:left="270"/>
        <w:rPr>
          <w:rFonts w:ascii="Arial" w:hAnsi="Arial" w:cs="Arial"/>
        </w:rPr>
      </w:pPr>
    </w:p>
    <w:p w14:paraId="6672AE88" w14:textId="1B5BAB17" w:rsidR="002A36C9" w:rsidRPr="00184469" w:rsidRDefault="005276B4" w:rsidP="00465652">
      <w:pPr>
        <w:ind w:left="270"/>
        <w:rPr>
          <w:rFonts w:ascii="Arial" w:hAnsi="Arial" w:cs="Arial"/>
          <w:b/>
          <w:bCs/>
        </w:rPr>
      </w:pPr>
      <w:r w:rsidRPr="00184469">
        <w:rPr>
          <w:rFonts w:ascii="Arial" w:hAnsi="Arial" w:cs="Arial"/>
          <w:b/>
          <w:bCs/>
        </w:rPr>
        <w:t xml:space="preserve">    </w:t>
      </w:r>
      <w:r w:rsidR="005A356B" w:rsidRPr="00184469">
        <w:rPr>
          <w:rFonts w:ascii="Arial" w:hAnsi="Arial" w:cs="Arial"/>
          <w:b/>
          <w:bCs/>
        </w:rPr>
        <w:t xml:space="preserve">2b. </w:t>
      </w:r>
      <w:r w:rsidR="00860448" w:rsidRPr="00184469">
        <w:rPr>
          <w:rFonts w:ascii="Arial" w:hAnsi="Arial" w:cs="Arial"/>
          <w:b/>
          <w:bCs/>
        </w:rPr>
        <w:t>Weight management and diet</w:t>
      </w:r>
    </w:p>
    <w:p w14:paraId="0F3F4753" w14:textId="5DDE7270" w:rsidR="00146F30" w:rsidRPr="00184469" w:rsidRDefault="004C01B8" w:rsidP="00465652">
      <w:pPr>
        <w:ind w:left="270"/>
        <w:rPr>
          <w:rFonts w:ascii="Arial" w:hAnsi="Arial" w:cs="Arial"/>
        </w:rPr>
      </w:pPr>
      <w:r w:rsidRPr="00184469">
        <w:rPr>
          <w:rFonts w:ascii="Arial" w:hAnsi="Arial" w:cs="Arial"/>
        </w:rPr>
        <w:t xml:space="preserve">PubMed </w:t>
      </w:r>
    </w:p>
    <w:tbl>
      <w:tblPr>
        <w:tblStyle w:val="TableGrid"/>
        <w:tblW w:w="9355" w:type="dxa"/>
        <w:tblInd w:w="265" w:type="dxa"/>
        <w:tblLayout w:type="fixed"/>
        <w:tblLook w:val="0600" w:firstRow="0" w:lastRow="0" w:firstColumn="0" w:lastColumn="0" w:noHBand="1" w:noVBand="1"/>
      </w:tblPr>
      <w:tblGrid>
        <w:gridCol w:w="570"/>
        <w:gridCol w:w="8785"/>
      </w:tblGrid>
      <w:tr w:rsidR="00E857E1" w:rsidRPr="00184469" w14:paraId="0F3F4758" w14:textId="77777777" w:rsidTr="00465652">
        <w:tc>
          <w:tcPr>
            <w:tcW w:w="570" w:type="dxa"/>
          </w:tcPr>
          <w:p w14:paraId="0F3F4755" w14:textId="77777777" w:rsidR="00E857E1" w:rsidRPr="006E3868" w:rsidRDefault="00E857E1" w:rsidP="00465652">
            <w:pPr>
              <w:widowControl w:val="0"/>
              <w:ind w:left="270"/>
              <w:rPr>
                <w:rFonts w:ascii="Arial" w:hAnsi="Arial" w:cs="Arial"/>
                <w:sz w:val="22"/>
                <w:szCs w:val="22"/>
              </w:rPr>
            </w:pPr>
            <w:r w:rsidRPr="006E3868">
              <w:rPr>
                <w:rFonts w:ascii="Arial" w:hAnsi="Arial" w:cs="Arial"/>
                <w:sz w:val="22"/>
                <w:szCs w:val="22"/>
              </w:rPr>
              <w:t>1</w:t>
            </w:r>
          </w:p>
        </w:tc>
        <w:tc>
          <w:tcPr>
            <w:tcW w:w="8785" w:type="dxa"/>
          </w:tcPr>
          <w:p w14:paraId="0F3F4756" w14:textId="77777777" w:rsidR="00E857E1" w:rsidRPr="006E3868" w:rsidRDefault="00E857E1" w:rsidP="00465652">
            <w:pPr>
              <w:widowControl w:val="0"/>
              <w:ind w:left="270"/>
              <w:rPr>
                <w:rFonts w:ascii="Arial" w:hAnsi="Arial" w:cs="Arial"/>
                <w:sz w:val="22"/>
                <w:szCs w:val="22"/>
              </w:rPr>
            </w:pPr>
            <w:r w:rsidRPr="006E3868">
              <w:rPr>
                <w:rFonts w:ascii="Arial" w:hAnsi="Arial" w:cs="Arial"/>
                <w:sz w:val="22"/>
                <w:szCs w:val="22"/>
              </w:rPr>
              <w:t>(</w:t>
            </w:r>
            <w:proofErr w:type="gramStart"/>
            <w:r w:rsidRPr="006E3868">
              <w:rPr>
                <w:rFonts w:ascii="Arial" w:hAnsi="Arial" w:cs="Arial"/>
                <w:sz w:val="22"/>
                <w:szCs w:val="22"/>
              </w:rPr>
              <w:t>weight</w:t>
            </w:r>
            <w:proofErr w:type="gramEnd"/>
            <w:r w:rsidRPr="006E3868">
              <w:rPr>
                <w:rFonts w:ascii="Arial" w:hAnsi="Arial" w:cs="Arial"/>
                <w:sz w:val="22"/>
                <w:szCs w:val="22"/>
              </w:rPr>
              <w:t xml:space="preserve"> management or overweight)</w:t>
            </w:r>
          </w:p>
        </w:tc>
      </w:tr>
      <w:tr w:rsidR="00E857E1" w:rsidRPr="00184469" w14:paraId="0F3F475C" w14:textId="77777777" w:rsidTr="00465652">
        <w:tc>
          <w:tcPr>
            <w:tcW w:w="570" w:type="dxa"/>
          </w:tcPr>
          <w:p w14:paraId="0F3F4759" w14:textId="77777777" w:rsidR="00E857E1" w:rsidRPr="006E3868" w:rsidRDefault="00E857E1" w:rsidP="00465652">
            <w:pPr>
              <w:widowControl w:val="0"/>
              <w:ind w:left="270"/>
              <w:rPr>
                <w:rFonts w:ascii="Arial" w:hAnsi="Arial" w:cs="Arial"/>
                <w:sz w:val="22"/>
                <w:szCs w:val="22"/>
              </w:rPr>
            </w:pPr>
            <w:r w:rsidRPr="006E3868">
              <w:rPr>
                <w:rFonts w:ascii="Arial" w:hAnsi="Arial" w:cs="Arial"/>
                <w:sz w:val="22"/>
                <w:szCs w:val="22"/>
              </w:rPr>
              <w:t>2</w:t>
            </w:r>
          </w:p>
        </w:tc>
        <w:tc>
          <w:tcPr>
            <w:tcW w:w="8785" w:type="dxa"/>
          </w:tcPr>
          <w:p w14:paraId="0F3F475A" w14:textId="77777777" w:rsidR="00E857E1" w:rsidRPr="006E3868" w:rsidRDefault="00E857E1" w:rsidP="00465652">
            <w:pPr>
              <w:widowControl w:val="0"/>
              <w:ind w:left="270"/>
              <w:rPr>
                <w:rFonts w:ascii="Arial" w:hAnsi="Arial" w:cs="Arial"/>
                <w:sz w:val="22"/>
                <w:szCs w:val="22"/>
              </w:rPr>
            </w:pPr>
            <w:r w:rsidRPr="006E3868">
              <w:rPr>
                <w:rFonts w:ascii="Arial" w:hAnsi="Arial" w:cs="Arial"/>
                <w:sz w:val="22"/>
                <w:szCs w:val="22"/>
              </w:rPr>
              <w:t>(</w:t>
            </w:r>
            <w:proofErr w:type="gramStart"/>
            <w:r w:rsidRPr="006E3868">
              <w:rPr>
                <w:rFonts w:ascii="Arial" w:hAnsi="Arial" w:cs="Arial"/>
                <w:sz w:val="22"/>
                <w:szCs w:val="22"/>
              </w:rPr>
              <w:t>healthy</w:t>
            </w:r>
            <w:proofErr w:type="gramEnd"/>
            <w:r w:rsidRPr="006E3868">
              <w:rPr>
                <w:rFonts w:ascii="Arial" w:hAnsi="Arial" w:cs="Arial"/>
                <w:sz w:val="22"/>
                <w:szCs w:val="22"/>
              </w:rPr>
              <w:t xml:space="preserve"> lifestyle or diet therapy or healthy diet)</w:t>
            </w:r>
          </w:p>
        </w:tc>
      </w:tr>
      <w:tr w:rsidR="00E857E1" w:rsidRPr="00184469" w14:paraId="0F3F4760" w14:textId="77777777" w:rsidTr="00465652">
        <w:tc>
          <w:tcPr>
            <w:tcW w:w="570" w:type="dxa"/>
          </w:tcPr>
          <w:p w14:paraId="0F3F475D" w14:textId="77777777" w:rsidR="00E857E1" w:rsidRPr="006E3868" w:rsidRDefault="00E857E1" w:rsidP="00465652">
            <w:pPr>
              <w:widowControl w:val="0"/>
              <w:ind w:left="270"/>
              <w:rPr>
                <w:rFonts w:ascii="Arial" w:hAnsi="Arial" w:cs="Arial"/>
                <w:sz w:val="22"/>
                <w:szCs w:val="22"/>
              </w:rPr>
            </w:pPr>
            <w:r w:rsidRPr="006E3868">
              <w:rPr>
                <w:rFonts w:ascii="Arial" w:hAnsi="Arial" w:cs="Arial"/>
                <w:sz w:val="22"/>
                <w:szCs w:val="22"/>
              </w:rPr>
              <w:t>3</w:t>
            </w:r>
          </w:p>
        </w:tc>
        <w:tc>
          <w:tcPr>
            <w:tcW w:w="8785" w:type="dxa"/>
          </w:tcPr>
          <w:p w14:paraId="0F3F475E" w14:textId="77777777" w:rsidR="00E857E1" w:rsidRPr="006E3868" w:rsidRDefault="00E857E1" w:rsidP="00465652">
            <w:pPr>
              <w:ind w:left="270"/>
              <w:rPr>
                <w:rFonts w:ascii="Arial" w:hAnsi="Arial" w:cs="Arial"/>
                <w:sz w:val="22"/>
                <w:szCs w:val="22"/>
              </w:rPr>
            </w:pPr>
            <w:r w:rsidRPr="006E3868">
              <w:rPr>
                <w:rFonts w:ascii="Arial" w:hAnsi="Arial" w:cs="Arial"/>
                <w:sz w:val="22"/>
                <w:szCs w:val="22"/>
              </w:rPr>
              <w:t>1 AND 2</w:t>
            </w:r>
          </w:p>
        </w:tc>
      </w:tr>
      <w:tr w:rsidR="00E857E1" w:rsidRPr="00184469" w14:paraId="0F3F4764" w14:textId="77777777" w:rsidTr="00465652">
        <w:tc>
          <w:tcPr>
            <w:tcW w:w="570" w:type="dxa"/>
          </w:tcPr>
          <w:p w14:paraId="0F3F4761" w14:textId="77777777" w:rsidR="00E857E1" w:rsidRPr="006E3868" w:rsidRDefault="00E857E1" w:rsidP="00465652">
            <w:pPr>
              <w:widowControl w:val="0"/>
              <w:ind w:left="270"/>
              <w:rPr>
                <w:rFonts w:ascii="Arial" w:hAnsi="Arial" w:cs="Arial"/>
                <w:sz w:val="22"/>
                <w:szCs w:val="22"/>
              </w:rPr>
            </w:pPr>
            <w:r w:rsidRPr="006E3868">
              <w:rPr>
                <w:rFonts w:ascii="Arial" w:hAnsi="Arial" w:cs="Arial"/>
                <w:sz w:val="22"/>
                <w:szCs w:val="22"/>
              </w:rPr>
              <w:t>4</w:t>
            </w:r>
          </w:p>
        </w:tc>
        <w:tc>
          <w:tcPr>
            <w:tcW w:w="8785" w:type="dxa"/>
          </w:tcPr>
          <w:p w14:paraId="0F3F4762" w14:textId="77777777" w:rsidR="00E857E1" w:rsidRPr="006E3868" w:rsidRDefault="00E857E1" w:rsidP="00465652">
            <w:pPr>
              <w:ind w:left="270"/>
              <w:rPr>
                <w:rFonts w:ascii="Arial" w:hAnsi="Arial" w:cs="Arial"/>
                <w:sz w:val="22"/>
                <w:szCs w:val="22"/>
              </w:rPr>
            </w:pPr>
            <w:r w:rsidRPr="006E3868">
              <w:rPr>
                <w:rFonts w:ascii="Arial" w:hAnsi="Arial" w:cs="Arial"/>
                <w:sz w:val="22"/>
                <w:szCs w:val="22"/>
              </w:rPr>
              <w:t>3 limit date 2018-2020</w:t>
            </w:r>
          </w:p>
        </w:tc>
      </w:tr>
      <w:tr w:rsidR="00E857E1" w:rsidRPr="00184469" w14:paraId="0F3F4768" w14:textId="77777777" w:rsidTr="00465652">
        <w:tc>
          <w:tcPr>
            <w:tcW w:w="570" w:type="dxa"/>
          </w:tcPr>
          <w:p w14:paraId="0F3F4765" w14:textId="77777777" w:rsidR="00E857E1" w:rsidRPr="006E3868" w:rsidRDefault="00E857E1" w:rsidP="00465652">
            <w:pPr>
              <w:widowControl w:val="0"/>
              <w:ind w:left="270"/>
              <w:rPr>
                <w:rFonts w:ascii="Arial" w:hAnsi="Arial" w:cs="Arial"/>
                <w:sz w:val="22"/>
                <w:szCs w:val="22"/>
              </w:rPr>
            </w:pPr>
            <w:r w:rsidRPr="006E3868">
              <w:rPr>
                <w:rFonts w:ascii="Arial" w:hAnsi="Arial" w:cs="Arial"/>
                <w:sz w:val="22"/>
                <w:szCs w:val="22"/>
              </w:rPr>
              <w:t>5</w:t>
            </w:r>
          </w:p>
        </w:tc>
        <w:tc>
          <w:tcPr>
            <w:tcW w:w="8785" w:type="dxa"/>
          </w:tcPr>
          <w:p w14:paraId="0F3F4766" w14:textId="39D914D8" w:rsidR="00E857E1" w:rsidRPr="006E3868" w:rsidRDefault="00E857E1" w:rsidP="00465652">
            <w:pPr>
              <w:ind w:left="270"/>
              <w:rPr>
                <w:rFonts w:ascii="Arial" w:hAnsi="Arial" w:cs="Arial"/>
                <w:sz w:val="22"/>
                <w:szCs w:val="22"/>
              </w:rPr>
            </w:pPr>
            <w:r w:rsidRPr="006E3868">
              <w:rPr>
                <w:rFonts w:ascii="Arial" w:hAnsi="Arial" w:cs="Arial"/>
                <w:sz w:val="22"/>
                <w:szCs w:val="22"/>
              </w:rPr>
              <w:t xml:space="preserve">4 </w:t>
            </w:r>
            <w:proofErr w:type="gramStart"/>
            <w:r w:rsidRPr="006E3868">
              <w:rPr>
                <w:rFonts w:ascii="Arial" w:hAnsi="Arial" w:cs="Arial"/>
                <w:sz w:val="22"/>
                <w:szCs w:val="22"/>
              </w:rPr>
              <w:t>limit</w:t>
            </w:r>
            <w:proofErr w:type="gramEnd"/>
            <w:r w:rsidRPr="006E3868">
              <w:rPr>
                <w:rFonts w:ascii="Arial" w:hAnsi="Arial" w:cs="Arial"/>
                <w:sz w:val="22"/>
                <w:szCs w:val="22"/>
              </w:rPr>
              <w:t xml:space="preserve"> by Article Type: Systematic Review, Practice Guideline, Guideline</w:t>
            </w:r>
          </w:p>
        </w:tc>
      </w:tr>
      <w:tr w:rsidR="00E857E1" w:rsidRPr="00184469" w14:paraId="0F3F476C" w14:textId="77777777" w:rsidTr="00465652">
        <w:tc>
          <w:tcPr>
            <w:tcW w:w="570" w:type="dxa"/>
          </w:tcPr>
          <w:p w14:paraId="0F3F4769" w14:textId="77777777" w:rsidR="00E857E1" w:rsidRPr="006E3868" w:rsidRDefault="00E857E1" w:rsidP="00465652">
            <w:pPr>
              <w:widowControl w:val="0"/>
              <w:ind w:left="270"/>
              <w:rPr>
                <w:rFonts w:ascii="Arial" w:hAnsi="Arial" w:cs="Arial"/>
                <w:sz w:val="22"/>
                <w:szCs w:val="22"/>
              </w:rPr>
            </w:pPr>
            <w:r w:rsidRPr="006E3868">
              <w:rPr>
                <w:rFonts w:ascii="Arial" w:hAnsi="Arial" w:cs="Arial"/>
                <w:sz w:val="22"/>
                <w:szCs w:val="22"/>
              </w:rPr>
              <w:t>6</w:t>
            </w:r>
          </w:p>
        </w:tc>
        <w:tc>
          <w:tcPr>
            <w:tcW w:w="8785" w:type="dxa"/>
          </w:tcPr>
          <w:p w14:paraId="0F3F476A" w14:textId="77777777" w:rsidR="00E857E1" w:rsidRPr="006E3868" w:rsidRDefault="00E857E1" w:rsidP="00465652">
            <w:pPr>
              <w:ind w:left="270"/>
              <w:rPr>
                <w:rFonts w:ascii="Arial" w:hAnsi="Arial" w:cs="Arial"/>
                <w:sz w:val="22"/>
                <w:szCs w:val="22"/>
              </w:rPr>
            </w:pPr>
            <w:r w:rsidRPr="006E3868">
              <w:rPr>
                <w:rFonts w:ascii="Arial" w:hAnsi="Arial" w:cs="Arial"/>
                <w:sz w:val="22"/>
                <w:szCs w:val="22"/>
              </w:rPr>
              <w:t xml:space="preserve">5 </w:t>
            </w:r>
            <w:proofErr w:type="gramStart"/>
            <w:r w:rsidRPr="006E3868">
              <w:rPr>
                <w:rFonts w:ascii="Arial" w:hAnsi="Arial" w:cs="Arial"/>
                <w:sz w:val="22"/>
                <w:szCs w:val="22"/>
              </w:rPr>
              <w:t>limit</w:t>
            </w:r>
            <w:proofErr w:type="gramEnd"/>
            <w:r w:rsidRPr="006E3868">
              <w:rPr>
                <w:rFonts w:ascii="Arial" w:hAnsi="Arial" w:cs="Arial"/>
                <w:sz w:val="22"/>
                <w:szCs w:val="22"/>
              </w:rPr>
              <w:t xml:space="preserve"> to English language</w:t>
            </w:r>
          </w:p>
        </w:tc>
      </w:tr>
    </w:tbl>
    <w:p w14:paraId="333C9AE6" w14:textId="77777777" w:rsidR="00875948" w:rsidRPr="00184469" w:rsidRDefault="00875948" w:rsidP="00465652">
      <w:pPr>
        <w:shd w:val="clear" w:color="auto" w:fill="FFFFFF"/>
        <w:ind w:left="270"/>
        <w:rPr>
          <w:rFonts w:ascii="Arial" w:eastAsia="Times New Roman" w:hAnsi="Arial" w:cs="Arial"/>
          <w:color w:val="000000"/>
        </w:rPr>
      </w:pPr>
    </w:p>
    <w:p w14:paraId="6CEF48D2" w14:textId="1F0FACE6" w:rsidR="00184469" w:rsidRPr="00184469" w:rsidRDefault="00184469" w:rsidP="00465652">
      <w:pPr>
        <w:shd w:val="clear" w:color="auto" w:fill="FFFFFF"/>
        <w:ind w:left="270"/>
        <w:rPr>
          <w:rFonts w:ascii="Arial" w:eastAsia="Times New Roman" w:hAnsi="Arial" w:cs="Arial"/>
          <w:b/>
          <w:bCs/>
          <w:color w:val="000000"/>
        </w:rPr>
      </w:pPr>
      <w:r w:rsidRPr="00184469">
        <w:rPr>
          <w:rFonts w:ascii="Arial" w:eastAsia="Times New Roman" w:hAnsi="Arial" w:cs="Arial"/>
          <w:b/>
          <w:bCs/>
          <w:color w:val="000000"/>
        </w:rPr>
        <w:t xml:space="preserve">3. </w:t>
      </w:r>
      <w:r>
        <w:rPr>
          <w:rFonts w:ascii="Arial" w:eastAsia="Times New Roman" w:hAnsi="Arial" w:cs="Arial"/>
          <w:b/>
          <w:bCs/>
          <w:color w:val="000000"/>
        </w:rPr>
        <w:t>Tobacco cessation</w:t>
      </w:r>
    </w:p>
    <w:p w14:paraId="271F4419" w14:textId="2A9D3B0E" w:rsidR="00595C19" w:rsidRPr="00184469" w:rsidRDefault="00595C19" w:rsidP="00465652">
      <w:pPr>
        <w:shd w:val="clear" w:color="auto" w:fill="FFFFFF"/>
        <w:ind w:left="270"/>
        <w:rPr>
          <w:rFonts w:ascii="Arial" w:eastAsia="Times New Roman" w:hAnsi="Arial" w:cs="Arial"/>
          <w:color w:val="000000"/>
        </w:rPr>
      </w:pPr>
      <w:r w:rsidRPr="00184469">
        <w:rPr>
          <w:rFonts w:ascii="Arial" w:eastAsia="Times New Roman" w:hAnsi="Arial" w:cs="Arial"/>
          <w:color w:val="000000"/>
        </w:rPr>
        <w:t>PubMed</w:t>
      </w:r>
    </w:p>
    <w:tbl>
      <w:tblPr>
        <w:tblStyle w:val="TableGrid1"/>
        <w:tblW w:w="9344" w:type="dxa"/>
        <w:tblInd w:w="265" w:type="dxa"/>
        <w:tblLook w:val="04A0" w:firstRow="1" w:lastRow="0" w:firstColumn="1" w:lastColumn="0" w:noHBand="0" w:noVBand="1"/>
      </w:tblPr>
      <w:tblGrid>
        <w:gridCol w:w="622"/>
        <w:gridCol w:w="8722"/>
      </w:tblGrid>
      <w:tr w:rsidR="00595C19" w:rsidRPr="00184469" w14:paraId="772A6190" w14:textId="77777777" w:rsidTr="00465652">
        <w:tc>
          <w:tcPr>
            <w:tcW w:w="622" w:type="dxa"/>
            <w:hideMark/>
          </w:tcPr>
          <w:p w14:paraId="75843FBB" w14:textId="77777777" w:rsidR="00595C19" w:rsidRPr="006E3868" w:rsidRDefault="00595C19" w:rsidP="00465652">
            <w:pPr>
              <w:ind w:left="270"/>
              <w:rPr>
                <w:rFonts w:eastAsia="Times New Roman"/>
                <w:sz w:val="22"/>
                <w:szCs w:val="22"/>
              </w:rPr>
            </w:pPr>
            <w:r w:rsidRPr="006E3868">
              <w:rPr>
                <w:rFonts w:eastAsia="Times New Roman"/>
                <w:sz w:val="22"/>
                <w:szCs w:val="22"/>
              </w:rPr>
              <w:t>1</w:t>
            </w:r>
          </w:p>
        </w:tc>
        <w:tc>
          <w:tcPr>
            <w:tcW w:w="8722" w:type="dxa"/>
            <w:hideMark/>
          </w:tcPr>
          <w:p w14:paraId="6D8DE22A" w14:textId="77777777" w:rsidR="00595C19" w:rsidRPr="006E3868" w:rsidRDefault="00595C19" w:rsidP="00465652">
            <w:pPr>
              <w:ind w:left="270"/>
              <w:rPr>
                <w:rFonts w:eastAsia="Times New Roman"/>
                <w:sz w:val="22"/>
                <w:szCs w:val="22"/>
              </w:rPr>
            </w:pPr>
            <w:r w:rsidRPr="006E3868">
              <w:rPr>
                <w:rFonts w:eastAsia="Times New Roman"/>
                <w:sz w:val="22"/>
                <w:szCs w:val="22"/>
              </w:rPr>
              <w:t>cessation</w:t>
            </w:r>
          </w:p>
        </w:tc>
      </w:tr>
      <w:tr w:rsidR="00595C19" w:rsidRPr="00184469" w14:paraId="34506620" w14:textId="77777777" w:rsidTr="00465652">
        <w:tc>
          <w:tcPr>
            <w:tcW w:w="622" w:type="dxa"/>
            <w:hideMark/>
          </w:tcPr>
          <w:p w14:paraId="2FEDB857" w14:textId="77777777" w:rsidR="00595C19" w:rsidRPr="006E3868" w:rsidRDefault="00595C19" w:rsidP="00465652">
            <w:pPr>
              <w:ind w:left="270"/>
              <w:rPr>
                <w:rFonts w:eastAsia="Times New Roman"/>
                <w:sz w:val="22"/>
                <w:szCs w:val="22"/>
              </w:rPr>
            </w:pPr>
            <w:r w:rsidRPr="006E3868">
              <w:rPr>
                <w:rFonts w:eastAsia="Times New Roman"/>
                <w:sz w:val="22"/>
                <w:szCs w:val="22"/>
              </w:rPr>
              <w:t>2</w:t>
            </w:r>
          </w:p>
        </w:tc>
        <w:tc>
          <w:tcPr>
            <w:tcW w:w="8722" w:type="dxa"/>
            <w:hideMark/>
          </w:tcPr>
          <w:p w14:paraId="4DC5B227" w14:textId="77777777" w:rsidR="00595C19" w:rsidRPr="006E3868" w:rsidRDefault="00595C19" w:rsidP="00465652">
            <w:pPr>
              <w:ind w:left="270"/>
              <w:rPr>
                <w:rFonts w:eastAsia="Times New Roman"/>
                <w:sz w:val="22"/>
                <w:szCs w:val="22"/>
              </w:rPr>
            </w:pPr>
            <w:r w:rsidRPr="006E3868">
              <w:rPr>
                <w:rFonts w:eastAsia="Times New Roman"/>
                <w:sz w:val="22"/>
                <w:szCs w:val="22"/>
              </w:rPr>
              <w:t>tobacco or smoking</w:t>
            </w:r>
          </w:p>
        </w:tc>
      </w:tr>
      <w:tr w:rsidR="00595C19" w:rsidRPr="00184469" w14:paraId="4E84E303" w14:textId="77777777" w:rsidTr="00465652">
        <w:tc>
          <w:tcPr>
            <w:tcW w:w="622" w:type="dxa"/>
            <w:hideMark/>
          </w:tcPr>
          <w:p w14:paraId="0B6A98F1" w14:textId="77777777" w:rsidR="00595C19" w:rsidRPr="006E3868" w:rsidRDefault="00595C19" w:rsidP="00465652">
            <w:pPr>
              <w:ind w:left="270"/>
              <w:rPr>
                <w:rFonts w:eastAsia="Times New Roman"/>
                <w:sz w:val="22"/>
                <w:szCs w:val="22"/>
              </w:rPr>
            </w:pPr>
            <w:r w:rsidRPr="006E3868">
              <w:rPr>
                <w:rFonts w:eastAsia="Times New Roman"/>
                <w:sz w:val="22"/>
                <w:szCs w:val="22"/>
              </w:rPr>
              <w:t>3</w:t>
            </w:r>
          </w:p>
        </w:tc>
        <w:tc>
          <w:tcPr>
            <w:tcW w:w="8722" w:type="dxa"/>
            <w:hideMark/>
          </w:tcPr>
          <w:p w14:paraId="137A1BB0" w14:textId="77777777" w:rsidR="00595C19" w:rsidRPr="006E3868" w:rsidRDefault="00595C19" w:rsidP="00465652">
            <w:pPr>
              <w:ind w:left="270"/>
              <w:rPr>
                <w:rFonts w:eastAsia="Times New Roman"/>
                <w:sz w:val="22"/>
                <w:szCs w:val="22"/>
              </w:rPr>
            </w:pPr>
            <w:r w:rsidRPr="006E3868">
              <w:rPr>
                <w:rFonts w:eastAsia="Times New Roman"/>
                <w:sz w:val="22"/>
                <w:szCs w:val="22"/>
              </w:rPr>
              <w:t>1 AND 2</w:t>
            </w:r>
          </w:p>
        </w:tc>
      </w:tr>
      <w:tr w:rsidR="00595C19" w:rsidRPr="00184469" w14:paraId="5F68F94A" w14:textId="77777777" w:rsidTr="00465652">
        <w:tc>
          <w:tcPr>
            <w:tcW w:w="622" w:type="dxa"/>
            <w:hideMark/>
          </w:tcPr>
          <w:p w14:paraId="5B05CD25" w14:textId="77777777" w:rsidR="00595C19" w:rsidRPr="006E3868" w:rsidRDefault="00595C19" w:rsidP="00465652">
            <w:pPr>
              <w:ind w:left="270"/>
              <w:rPr>
                <w:rFonts w:eastAsia="Times New Roman"/>
                <w:sz w:val="22"/>
                <w:szCs w:val="22"/>
              </w:rPr>
            </w:pPr>
            <w:r w:rsidRPr="006E3868">
              <w:rPr>
                <w:rFonts w:eastAsia="Times New Roman"/>
                <w:sz w:val="22"/>
                <w:szCs w:val="22"/>
              </w:rPr>
              <w:t>4</w:t>
            </w:r>
          </w:p>
        </w:tc>
        <w:tc>
          <w:tcPr>
            <w:tcW w:w="8722" w:type="dxa"/>
            <w:hideMark/>
          </w:tcPr>
          <w:p w14:paraId="089BE33B" w14:textId="77777777" w:rsidR="00595C19" w:rsidRPr="006E3868" w:rsidRDefault="00595C19" w:rsidP="00465652">
            <w:pPr>
              <w:ind w:left="270"/>
              <w:rPr>
                <w:rFonts w:eastAsia="Times New Roman"/>
                <w:sz w:val="22"/>
                <w:szCs w:val="22"/>
              </w:rPr>
            </w:pPr>
            <w:r w:rsidRPr="006E3868">
              <w:rPr>
                <w:rFonts w:eastAsia="Times New Roman"/>
                <w:sz w:val="22"/>
                <w:szCs w:val="22"/>
              </w:rPr>
              <w:t>3 limit Article Type: Guideline, Practice Guideline</w:t>
            </w:r>
          </w:p>
        </w:tc>
      </w:tr>
      <w:tr w:rsidR="00595C19" w:rsidRPr="00184469" w14:paraId="407B45D5" w14:textId="77777777" w:rsidTr="00465652">
        <w:tc>
          <w:tcPr>
            <w:tcW w:w="622" w:type="dxa"/>
            <w:hideMark/>
          </w:tcPr>
          <w:p w14:paraId="59308830" w14:textId="77777777" w:rsidR="00595C19" w:rsidRPr="006E3868" w:rsidRDefault="00595C19" w:rsidP="00465652">
            <w:pPr>
              <w:ind w:left="270"/>
              <w:rPr>
                <w:rFonts w:eastAsia="Times New Roman"/>
                <w:sz w:val="22"/>
                <w:szCs w:val="22"/>
              </w:rPr>
            </w:pPr>
            <w:r w:rsidRPr="006E3868">
              <w:rPr>
                <w:rFonts w:eastAsia="Times New Roman"/>
                <w:sz w:val="22"/>
                <w:szCs w:val="22"/>
              </w:rPr>
              <w:t>5</w:t>
            </w:r>
          </w:p>
        </w:tc>
        <w:tc>
          <w:tcPr>
            <w:tcW w:w="8722" w:type="dxa"/>
            <w:hideMark/>
          </w:tcPr>
          <w:p w14:paraId="35E58064" w14:textId="77777777" w:rsidR="00595C19" w:rsidRPr="006E3868" w:rsidRDefault="00595C19" w:rsidP="00465652">
            <w:pPr>
              <w:ind w:left="270"/>
              <w:rPr>
                <w:rFonts w:eastAsia="Times New Roman"/>
                <w:sz w:val="22"/>
                <w:szCs w:val="22"/>
              </w:rPr>
            </w:pPr>
            <w:r w:rsidRPr="006E3868">
              <w:rPr>
                <w:rFonts w:eastAsia="Times New Roman"/>
                <w:sz w:val="22"/>
                <w:szCs w:val="22"/>
              </w:rPr>
              <w:t>4 Limit to English language</w:t>
            </w:r>
          </w:p>
        </w:tc>
      </w:tr>
      <w:tr w:rsidR="00595C19" w:rsidRPr="00184469" w14:paraId="2E5C363D" w14:textId="77777777" w:rsidTr="00465652">
        <w:tc>
          <w:tcPr>
            <w:tcW w:w="622" w:type="dxa"/>
            <w:hideMark/>
          </w:tcPr>
          <w:p w14:paraId="5432DD7C" w14:textId="77777777" w:rsidR="00595C19" w:rsidRPr="006E3868" w:rsidRDefault="00595C19" w:rsidP="00465652">
            <w:pPr>
              <w:ind w:left="270"/>
              <w:rPr>
                <w:rFonts w:eastAsia="Times New Roman"/>
                <w:sz w:val="22"/>
                <w:szCs w:val="22"/>
              </w:rPr>
            </w:pPr>
            <w:r w:rsidRPr="006E3868">
              <w:rPr>
                <w:rFonts w:eastAsia="Times New Roman"/>
                <w:sz w:val="22"/>
                <w:szCs w:val="22"/>
              </w:rPr>
              <w:t>6</w:t>
            </w:r>
          </w:p>
        </w:tc>
        <w:tc>
          <w:tcPr>
            <w:tcW w:w="8722" w:type="dxa"/>
            <w:hideMark/>
          </w:tcPr>
          <w:p w14:paraId="3E67C779" w14:textId="77777777" w:rsidR="00595C19" w:rsidRPr="006E3868" w:rsidRDefault="00595C19" w:rsidP="00465652">
            <w:pPr>
              <w:ind w:left="270"/>
              <w:rPr>
                <w:rFonts w:eastAsia="Times New Roman"/>
                <w:sz w:val="22"/>
                <w:szCs w:val="22"/>
              </w:rPr>
            </w:pPr>
            <w:r w:rsidRPr="006E3868">
              <w:rPr>
                <w:rFonts w:eastAsia="Times New Roman"/>
                <w:sz w:val="22"/>
                <w:szCs w:val="22"/>
              </w:rPr>
              <w:t xml:space="preserve">5 </w:t>
            </w:r>
            <w:proofErr w:type="gramStart"/>
            <w:r w:rsidRPr="006E3868">
              <w:rPr>
                <w:rFonts w:eastAsia="Times New Roman"/>
                <w:sz w:val="22"/>
                <w:szCs w:val="22"/>
              </w:rPr>
              <w:t>limit</w:t>
            </w:r>
            <w:proofErr w:type="gramEnd"/>
            <w:r w:rsidRPr="006E3868">
              <w:rPr>
                <w:rFonts w:eastAsia="Times New Roman"/>
                <w:sz w:val="22"/>
                <w:szCs w:val="22"/>
              </w:rPr>
              <w:t xml:space="preserve"> to date 2018-2020</w:t>
            </w:r>
          </w:p>
        </w:tc>
      </w:tr>
    </w:tbl>
    <w:p w14:paraId="46F9A1EF" w14:textId="77777777" w:rsidR="00D00876" w:rsidRDefault="00D00876" w:rsidP="00465652">
      <w:pPr>
        <w:shd w:val="clear" w:color="auto" w:fill="FFFFFF"/>
        <w:ind w:left="270"/>
        <w:rPr>
          <w:rFonts w:ascii="Arial" w:eastAsia="Times New Roman" w:hAnsi="Arial" w:cs="Arial"/>
          <w:color w:val="000000"/>
        </w:rPr>
      </w:pPr>
    </w:p>
    <w:p w14:paraId="7395D0E6" w14:textId="063DA088" w:rsidR="00D00876" w:rsidRPr="00D00876" w:rsidRDefault="00D00876" w:rsidP="00465652">
      <w:pPr>
        <w:shd w:val="clear" w:color="auto" w:fill="FFFFFF"/>
        <w:ind w:left="270"/>
        <w:rPr>
          <w:rFonts w:ascii="Arial" w:eastAsia="Times New Roman" w:hAnsi="Arial" w:cs="Arial"/>
          <w:b/>
          <w:bCs/>
          <w:color w:val="000000"/>
        </w:rPr>
      </w:pPr>
      <w:r w:rsidRPr="00D00876">
        <w:rPr>
          <w:rFonts w:ascii="Arial" w:eastAsia="Times New Roman" w:hAnsi="Arial" w:cs="Arial"/>
          <w:b/>
          <w:bCs/>
          <w:color w:val="000000"/>
        </w:rPr>
        <w:t xml:space="preserve">4. </w:t>
      </w:r>
      <w:r>
        <w:rPr>
          <w:rFonts w:ascii="Arial" w:eastAsia="Times New Roman" w:hAnsi="Arial" w:cs="Arial"/>
          <w:b/>
          <w:bCs/>
          <w:color w:val="000000"/>
        </w:rPr>
        <w:t>Fall prevention</w:t>
      </w:r>
    </w:p>
    <w:p w14:paraId="6A4A8A2B" w14:textId="1139DB11" w:rsidR="00875948" w:rsidRPr="00875948" w:rsidRDefault="00875948" w:rsidP="00465652">
      <w:pPr>
        <w:shd w:val="clear" w:color="auto" w:fill="FFFFFF"/>
        <w:ind w:left="270"/>
        <w:rPr>
          <w:rFonts w:ascii="Arial" w:eastAsia="Times New Roman" w:hAnsi="Arial" w:cs="Arial"/>
          <w:color w:val="000000"/>
        </w:rPr>
      </w:pPr>
      <w:r w:rsidRPr="00875948">
        <w:rPr>
          <w:rFonts w:ascii="Arial" w:eastAsia="Times New Roman" w:hAnsi="Arial" w:cs="Arial"/>
          <w:color w:val="000000"/>
        </w:rPr>
        <w:t>PubMed</w:t>
      </w:r>
    </w:p>
    <w:tbl>
      <w:tblPr>
        <w:tblStyle w:val="TableGrid1"/>
        <w:tblW w:w="9350" w:type="dxa"/>
        <w:tblInd w:w="265" w:type="dxa"/>
        <w:tblLook w:val="04A0" w:firstRow="1" w:lastRow="0" w:firstColumn="1" w:lastColumn="0" w:noHBand="0" w:noVBand="1"/>
      </w:tblPr>
      <w:tblGrid>
        <w:gridCol w:w="620"/>
        <w:gridCol w:w="8730"/>
      </w:tblGrid>
      <w:tr w:rsidR="00875948" w:rsidRPr="00875948" w14:paraId="4724BED0" w14:textId="77777777" w:rsidTr="00465652">
        <w:tc>
          <w:tcPr>
            <w:tcW w:w="620" w:type="dxa"/>
            <w:hideMark/>
          </w:tcPr>
          <w:p w14:paraId="45FABC5E" w14:textId="77777777" w:rsidR="00875948" w:rsidRPr="00875948" w:rsidRDefault="00875948" w:rsidP="00465652">
            <w:pPr>
              <w:ind w:left="270"/>
              <w:rPr>
                <w:rFonts w:eastAsia="Times New Roman"/>
                <w:sz w:val="22"/>
                <w:szCs w:val="22"/>
              </w:rPr>
            </w:pPr>
            <w:r w:rsidRPr="00875948">
              <w:rPr>
                <w:rFonts w:eastAsia="Times New Roman"/>
                <w:sz w:val="22"/>
                <w:szCs w:val="22"/>
              </w:rPr>
              <w:t>1</w:t>
            </w:r>
          </w:p>
        </w:tc>
        <w:tc>
          <w:tcPr>
            <w:tcW w:w="8730" w:type="dxa"/>
            <w:hideMark/>
          </w:tcPr>
          <w:p w14:paraId="3F1942CE" w14:textId="77777777" w:rsidR="00875948" w:rsidRPr="00875948" w:rsidRDefault="00875948" w:rsidP="00465652">
            <w:pPr>
              <w:ind w:left="270"/>
              <w:rPr>
                <w:rFonts w:eastAsia="Times New Roman"/>
                <w:sz w:val="22"/>
                <w:szCs w:val="22"/>
              </w:rPr>
            </w:pPr>
            <w:r w:rsidRPr="00875948">
              <w:rPr>
                <w:rFonts w:eastAsia="Times New Roman"/>
                <w:sz w:val="22"/>
                <w:szCs w:val="22"/>
                <w:shd w:val="clear" w:color="auto" w:fill="FFFFFF"/>
              </w:rPr>
              <w:t>(</w:t>
            </w:r>
            <w:proofErr w:type="gramStart"/>
            <w:r w:rsidRPr="00875948">
              <w:rPr>
                <w:rFonts w:eastAsia="Times New Roman"/>
                <w:sz w:val="22"/>
                <w:szCs w:val="22"/>
                <w:shd w:val="clear" w:color="auto" w:fill="FFFFFF"/>
              </w:rPr>
              <w:t>fall</w:t>
            </w:r>
            <w:proofErr w:type="gramEnd"/>
            <w:r w:rsidRPr="00875948">
              <w:rPr>
                <w:rFonts w:eastAsia="Times New Roman"/>
                <w:sz w:val="22"/>
                <w:szCs w:val="22"/>
                <w:shd w:val="clear" w:color="auto" w:fill="FFFFFF"/>
              </w:rPr>
              <w:t xml:space="preserve"> or falls) and (prevention)</w:t>
            </w:r>
          </w:p>
        </w:tc>
      </w:tr>
      <w:tr w:rsidR="00875948" w:rsidRPr="00875948" w14:paraId="5C5DA1D3" w14:textId="77777777" w:rsidTr="00465652">
        <w:tc>
          <w:tcPr>
            <w:tcW w:w="620" w:type="dxa"/>
            <w:hideMark/>
          </w:tcPr>
          <w:p w14:paraId="67B91391" w14:textId="77777777" w:rsidR="00875948" w:rsidRPr="00875948" w:rsidRDefault="00875948" w:rsidP="00465652">
            <w:pPr>
              <w:ind w:left="270"/>
              <w:rPr>
                <w:rFonts w:eastAsia="Times New Roman"/>
                <w:sz w:val="22"/>
                <w:szCs w:val="22"/>
              </w:rPr>
            </w:pPr>
            <w:r w:rsidRPr="00875948">
              <w:rPr>
                <w:rFonts w:eastAsia="Times New Roman"/>
                <w:sz w:val="22"/>
                <w:szCs w:val="22"/>
              </w:rPr>
              <w:t>2</w:t>
            </w:r>
          </w:p>
        </w:tc>
        <w:tc>
          <w:tcPr>
            <w:tcW w:w="8730" w:type="dxa"/>
            <w:hideMark/>
          </w:tcPr>
          <w:p w14:paraId="423091FE" w14:textId="77777777" w:rsidR="00875948" w:rsidRPr="00875948" w:rsidRDefault="00875948" w:rsidP="00465652">
            <w:pPr>
              <w:ind w:left="270"/>
              <w:rPr>
                <w:rFonts w:eastAsia="Times New Roman"/>
                <w:sz w:val="22"/>
                <w:szCs w:val="22"/>
              </w:rPr>
            </w:pPr>
            <w:r w:rsidRPr="00875948">
              <w:rPr>
                <w:rFonts w:eastAsia="Times New Roman"/>
                <w:sz w:val="22"/>
                <w:szCs w:val="22"/>
                <w:shd w:val="clear" w:color="auto" w:fill="FFFFFF"/>
              </w:rPr>
              <w:t>(</w:t>
            </w:r>
            <w:proofErr w:type="gramStart"/>
            <w:r w:rsidRPr="00875948">
              <w:rPr>
                <w:rFonts w:eastAsia="Times New Roman"/>
                <w:sz w:val="22"/>
                <w:szCs w:val="22"/>
                <w:shd w:val="clear" w:color="auto" w:fill="FFFFFF"/>
              </w:rPr>
              <w:t>exercise</w:t>
            </w:r>
            <w:proofErr w:type="gramEnd"/>
            <w:r w:rsidRPr="00875948">
              <w:rPr>
                <w:rFonts w:eastAsia="Times New Roman"/>
                <w:sz w:val="22"/>
                <w:szCs w:val="22"/>
                <w:shd w:val="clear" w:color="auto" w:fill="FFFFFF"/>
              </w:rPr>
              <w:t xml:space="preserve"> or physical activity)</w:t>
            </w:r>
          </w:p>
        </w:tc>
      </w:tr>
      <w:tr w:rsidR="00875948" w:rsidRPr="00875948" w14:paraId="0297A42B" w14:textId="77777777" w:rsidTr="00465652">
        <w:tc>
          <w:tcPr>
            <w:tcW w:w="620" w:type="dxa"/>
            <w:hideMark/>
          </w:tcPr>
          <w:p w14:paraId="0F1612B7" w14:textId="77777777" w:rsidR="00875948" w:rsidRPr="00875948" w:rsidRDefault="00875948" w:rsidP="00465652">
            <w:pPr>
              <w:ind w:left="270"/>
              <w:rPr>
                <w:rFonts w:eastAsia="Times New Roman"/>
                <w:sz w:val="22"/>
                <w:szCs w:val="22"/>
              </w:rPr>
            </w:pPr>
            <w:r w:rsidRPr="00875948">
              <w:rPr>
                <w:rFonts w:eastAsia="Times New Roman"/>
                <w:sz w:val="22"/>
                <w:szCs w:val="22"/>
              </w:rPr>
              <w:t>3</w:t>
            </w:r>
          </w:p>
        </w:tc>
        <w:tc>
          <w:tcPr>
            <w:tcW w:w="8730" w:type="dxa"/>
            <w:hideMark/>
          </w:tcPr>
          <w:p w14:paraId="5CD8C202" w14:textId="77777777" w:rsidR="00875948" w:rsidRPr="00875948" w:rsidRDefault="00875948" w:rsidP="00465652">
            <w:pPr>
              <w:ind w:left="270"/>
              <w:rPr>
                <w:rFonts w:eastAsia="Times New Roman"/>
                <w:sz w:val="22"/>
                <w:szCs w:val="22"/>
              </w:rPr>
            </w:pPr>
            <w:r w:rsidRPr="00875948">
              <w:rPr>
                <w:rFonts w:eastAsia="Times New Roman"/>
                <w:sz w:val="22"/>
                <w:szCs w:val="22"/>
                <w:shd w:val="clear" w:color="auto" w:fill="FFFFFF"/>
              </w:rPr>
              <w:t>(</w:t>
            </w:r>
            <w:proofErr w:type="gramStart"/>
            <w:r w:rsidRPr="00875948">
              <w:rPr>
                <w:rFonts w:eastAsia="Times New Roman"/>
                <w:sz w:val="22"/>
                <w:szCs w:val="22"/>
                <w:shd w:val="clear" w:color="auto" w:fill="FFFFFF"/>
              </w:rPr>
              <w:t>aged</w:t>
            </w:r>
            <w:proofErr w:type="gramEnd"/>
            <w:r w:rsidRPr="00875948">
              <w:rPr>
                <w:rFonts w:eastAsia="Times New Roman"/>
                <w:sz w:val="22"/>
                <w:szCs w:val="22"/>
                <w:shd w:val="clear" w:color="auto" w:fill="FFFFFF"/>
              </w:rPr>
              <w:t xml:space="preserve"> or older or elderly) and (adult or adults)</w:t>
            </w:r>
          </w:p>
        </w:tc>
      </w:tr>
      <w:tr w:rsidR="00875948" w:rsidRPr="00875948" w14:paraId="1A66C72C" w14:textId="77777777" w:rsidTr="00465652">
        <w:tc>
          <w:tcPr>
            <w:tcW w:w="620" w:type="dxa"/>
            <w:hideMark/>
          </w:tcPr>
          <w:p w14:paraId="0E81A625" w14:textId="77777777" w:rsidR="00875948" w:rsidRPr="00875948" w:rsidRDefault="00875948" w:rsidP="00465652">
            <w:pPr>
              <w:ind w:left="270"/>
              <w:rPr>
                <w:rFonts w:eastAsia="Times New Roman"/>
                <w:sz w:val="22"/>
                <w:szCs w:val="22"/>
              </w:rPr>
            </w:pPr>
            <w:r w:rsidRPr="00875948">
              <w:rPr>
                <w:rFonts w:eastAsia="Times New Roman"/>
                <w:sz w:val="22"/>
                <w:szCs w:val="22"/>
              </w:rPr>
              <w:t>4</w:t>
            </w:r>
          </w:p>
        </w:tc>
        <w:tc>
          <w:tcPr>
            <w:tcW w:w="8730" w:type="dxa"/>
            <w:hideMark/>
          </w:tcPr>
          <w:p w14:paraId="1ECF867A" w14:textId="77777777" w:rsidR="00875948" w:rsidRPr="00875948" w:rsidRDefault="00875948" w:rsidP="00465652">
            <w:pPr>
              <w:ind w:left="270"/>
              <w:rPr>
                <w:rFonts w:eastAsia="Times New Roman"/>
                <w:sz w:val="22"/>
                <w:szCs w:val="22"/>
              </w:rPr>
            </w:pPr>
            <w:r w:rsidRPr="00875948">
              <w:rPr>
                <w:rFonts w:eastAsia="Times New Roman"/>
                <w:sz w:val="22"/>
                <w:szCs w:val="22"/>
              </w:rPr>
              <w:t>1 AND 2 AND 3</w:t>
            </w:r>
          </w:p>
        </w:tc>
      </w:tr>
      <w:tr w:rsidR="00875948" w:rsidRPr="00875948" w14:paraId="1ED4BC25" w14:textId="77777777" w:rsidTr="00465652">
        <w:tc>
          <w:tcPr>
            <w:tcW w:w="620" w:type="dxa"/>
            <w:hideMark/>
          </w:tcPr>
          <w:p w14:paraId="73F39615" w14:textId="77777777" w:rsidR="00875948" w:rsidRPr="00875948" w:rsidRDefault="00875948" w:rsidP="00465652">
            <w:pPr>
              <w:ind w:left="270"/>
              <w:rPr>
                <w:rFonts w:eastAsia="Times New Roman"/>
                <w:sz w:val="22"/>
                <w:szCs w:val="22"/>
              </w:rPr>
            </w:pPr>
            <w:r w:rsidRPr="00875948">
              <w:rPr>
                <w:rFonts w:eastAsia="Times New Roman"/>
                <w:sz w:val="22"/>
                <w:szCs w:val="22"/>
              </w:rPr>
              <w:t>5</w:t>
            </w:r>
          </w:p>
        </w:tc>
        <w:tc>
          <w:tcPr>
            <w:tcW w:w="8730" w:type="dxa"/>
            <w:hideMark/>
          </w:tcPr>
          <w:p w14:paraId="62D19F2F" w14:textId="618B2C52" w:rsidR="00875948" w:rsidRPr="00875948" w:rsidRDefault="00875948" w:rsidP="00465652">
            <w:pPr>
              <w:ind w:left="270"/>
              <w:rPr>
                <w:rFonts w:eastAsia="Times New Roman"/>
                <w:sz w:val="22"/>
                <w:szCs w:val="22"/>
              </w:rPr>
            </w:pPr>
            <w:r w:rsidRPr="00875948">
              <w:rPr>
                <w:rFonts w:eastAsia="Times New Roman"/>
                <w:sz w:val="22"/>
                <w:szCs w:val="22"/>
              </w:rPr>
              <w:t xml:space="preserve">4 Article Type: </w:t>
            </w:r>
            <w:r w:rsidR="00A300E0" w:rsidRPr="006E3868">
              <w:rPr>
                <w:rFonts w:eastAsia="Times New Roman"/>
                <w:sz w:val="22"/>
                <w:szCs w:val="22"/>
              </w:rPr>
              <w:t>Guideline, Practice Guideline</w:t>
            </w:r>
          </w:p>
        </w:tc>
      </w:tr>
      <w:tr w:rsidR="00875948" w:rsidRPr="00875948" w14:paraId="6BDDE9EA" w14:textId="77777777" w:rsidTr="00465652">
        <w:tc>
          <w:tcPr>
            <w:tcW w:w="620" w:type="dxa"/>
            <w:hideMark/>
          </w:tcPr>
          <w:p w14:paraId="6242AAC3" w14:textId="77777777" w:rsidR="00875948" w:rsidRPr="00875948" w:rsidRDefault="00875948" w:rsidP="00465652">
            <w:pPr>
              <w:ind w:left="270"/>
              <w:rPr>
                <w:rFonts w:eastAsia="Times New Roman"/>
                <w:sz w:val="22"/>
                <w:szCs w:val="22"/>
              </w:rPr>
            </w:pPr>
            <w:r w:rsidRPr="00875948">
              <w:rPr>
                <w:rFonts w:eastAsia="Times New Roman"/>
                <w:sz w:val="22"/>
                <w:szCs w:val="22"/>
              </w:rPr>
              <w:t>6</w:t>
            </w:r>
          </w:p>
        </w:tc>
        <w:tc>
          <w:tcPr>
            <w:tcW w:w="8730" w:type="dxa"/>
            <w:hideMark/>
          </w:tcPr>
          <w:p w14:paraId="329DD415" w14:textId="77777777" w:rsidR="00875948" w:rsidRPr="00875948" w:rsidRDefault="00875948" w:rsidP="00465652">
            <w:pPr>
              <w:ind w:left="270"/>
              <w:rPr>
                <w:rFonts w:eastAsia="Times New Roman"/>
                <w:sz w:val="22"/>
                <w:szCs w:val="22"/>
              </w:rPr>
            </w:pPr>
            <w:r w:rsidRPr="00875948">
              <w:rPr>
                <w:rFonts w:eastAsia="Times New Roman"/>
                <w:sz w:val="22"/>
                <w:szCs w:val="22"/>
              </w:rPr>
              <w:t xml:space="preserve">5 </w:t>
            </w:r>
            <w:proofErr w:type="gramStart"/>
            <w:r w:rsidRPr="00875948">
              <w:rPr>
                <w:rFonts w:eastAsia="Times New Roman"/>
                <w:sz w:val="22"/>
                <w:szCs w:val="22"/>
              </w:rPr>
              <w:t>limit</w:t>
            </w:r>
            <w:proofErr w:type="gramEnd"/>
            <w:r w:rsidRPr="00875948">
              <w:rPr>
                <w:rFonts w:eastAsia="Times New Roman"/>
                <w:sz w:val="22"/>
                <w:szCs w:val="22"/>
              </w:rPr>
              <w:t xml:space="preserve"> to 2018-2020</w:t>
            </w:r>
          </w:p>
        </w:tc>
      </w:tr>
      <w:tr w:rsidR="00875948" w:rsidRPr="00875948" w14:paraId="7B7D17AB" w14:textId="77777777" w:rsidTr="00465652">
        <w:tc>
          <w:tcPr>
            <w:tcW w:w="620" w:type="dxa"/>
            <w:hideMark/>
          </w:tcPr>
          <w:p w14:paraId="3B63B05E" w14:textId="77777777" w:rsidR="00875948" w:rsidRPr="00875948" w:rsidRDefault="00875948" w:rsidP="00465652">
            <w:pPr>
              <w:ind w:left="270"/>
              <w:rPr>
                <w:rFonts w:eastAsia="Times New Roman"/>
                <w:sz w:val="22"/>
                <w:szCs w:val="22"/>
              </w:rPr>
            </w:pPr>
            <w:r w:rsidRPr="00875948">
              <w:rPr>
                <w:rFonts w:eastAsia="Times New Roman"/>
                <w:sz w:val="22"/>
                <w:szCs w:val="22"/>
              </w:rPr>
              <w:t>7</w:t>
            </w:r>
          </w:p>
        </w:tc>
        <w:tc>
          <w:tcPr>
            <w:tcW w:w="8730" w:type="dxa"/>
            <w:hideMark/>
          </w:tcPr>
          <w:p w14:paraId="7A71D173" w14:textId="77777777" w:rsidR="00875948" w:rsidRPr="00875948" w:rsidRDefault="00875948" w:rsidP="00465652">
            <w:pPr>
              <w:ind w:left="270"/>
              <w:rPr>
                <w:rFonts w:eastAsia="Times New Roman"/>
                <w:sz w:val="22"/>
                <w:szCs w:val="22"/>
              </w:rPr>
            </w:pPr>
            <w:r w:rsidRPr="00875948">
              <w:rPr>
                <w:rFonts w:eastAsia="Times New Roman"/>
                <w:sz w:val="22"/>
                <w:szCs w:val="22"/>
              </w:rPr>
              <w:t xml:space="preserve">6 </w:t>
            </w:r>
            <w:proofErr w:type="gramStart"/>
            <w:r w:rsidRPr="00875948">
              <w:rPr>
                <w:rFonts w:eastAsia="Times New Roman"/>
                <w:sz w:val="22"/>
                <w:szCs w:val="22"/>
              </w:rPr>
              <w:t>limit</w:t>
            </w:r>
            <w:proofErr w:type="gramEnd"/>
            <w:r w:rsidRPr="00875948">
              <w:rPr>
                <w:rFonts w:eastAsia="Times New Roman"/>
                <w:sz w:val="22"/>
                <w:szCs w:val="22"/>
              </w:rPr>
              <w:t xml:space="preserve"> to English</w:t>
            </w:r>
          </w:p>
        </w:tc>
      </w:tr>
    </w:tbl>
    <w:p w14:paraId="5FCFA779" w14:textId="137CE671" w:rsidR="00EE4712" w:rsidRDefault="00324E1A">
      <w:pPr>
        <w:rPr>
          <w:rFonts w:ascii="Arial" w:hAnsi="Arial" w:cs="Arial"/>
          <w:b/>
          <w:bCs/>
        </w:rPr>
      </w:pPr>
      <w:r w:rsidRPr="00184469">
        <w:rPr>
          <w:rFonts w:ascii="Arial" w:hAnsi="Arial" w:cs="Arial"/>
          <w:b/>
          <w:bCs/>
        </w:rPr>
        <w:t>II. Immune system topics</w:t>
      </w:r>
      <w:r w:rsidR="00893F6F">
        <w:rPr>
          <w:rFonts w:ascii="Arial" w:hAnsi="Arial" w:cs="Arial"/>
          <w:b/>
          <w:bCs/>
        </w:rPr>
        <w:t xml:space="preserve"> (no CPGs identified so extended search to systematic reviews and meta-analyses)</w:t>
      </w:r>
    </w:p>
    <w:p w14:paraId="0C1EDAB6" w14:textId="77777777" w:rsidR="005D097D" w:rsidRPr="00184469" w:rsidRDefault="005D097D">
      <w:pPr>
        <w:rPr>
          <w:rFonts w:ascii="Arial" w:hAnsi="Arial" w:cs="Arial"/>
          <w:b/>
          <w:bCs/>
        </w:rPr>
      </w:pPr>
    </w:p>
    <w:p w14:paraId="63E3EB3B" w14:textId="497CFE1E" w:rsidR="005276B4" w:rsidRDefault="00324E1A" w:rsidP="00034D3A">
      <w:pPr>
        <w:ind w:left="274"/>
        <w:rPr>
          <w:rFonts w:ascii="Arial" w:hAnsi="Arial" w:cs="Arial"/>
          <w:b/>
        </w:rPr>
      </w:pPr>
      <w:bookmarkStart w:id="0" w:name="_Hlk67902731"/>
      <w:r w:rsidRPr="00184469">
        <w:rPr>
          <w:rFonts w:ascii="Arial" w:hAnsi="Arial" w:cs="Arial"/>
          <w:b/>
        </w:rPr>
        <w:t>1</w:t>
      </w:r>
      <w:r w:rsidR="006B7096" w:rsidRPr="00184469">
        <w:rPr>
          <w:rFonts w:ascii="Arial" w:hAnsi="Arial" w:cs="Arial"/>
          <w:b/>
        </w:rPr>
        <w:t>.</w:t>
      </w:r>
      <w:r w:rsidR="005276B4" w:rsidRPr="00184469">
        <w:rPr>
          <w:rFonts w:ascii="Arial" w:hAnsi="Arial" w:cs="Arial"/>
          <w:b/>
        </w:rPr>
        <w:t xml:space="preserve"> Immune system and </w:t>
      </w:r>
      <w:r w:rsidR="006B7096" w:rsidRPr="00184469">
        <w:rPr>
          <w:rFonts w:ascii="Arial" w:hAnsi="Arial" w:cs="Arial"/>
          <w:b/>
        </w:rPr>
        <w:t>spinal manipulation</w:t>
      </w:r>
      <w:r w:rsidR="005276B4" w:rsidRPr="00184469">
        <w:rPr>
          <w:rFonts w:ascii="Arial" w:hAnsi="Arial" w:cs="Arial"/>
          <w:b/>
        </w:rPr>
        <w:t xml:space="preserve"> </w:t>
      </w:r>
      <w:bookmarkEnd w:id="0"/>
    </w:p>
    <w:p w14:paraId="39C42A33" w14:textId="34582C7B" w:rsidR="005276B4" w:rsidRPr="00184469" w:rsidRDefault="00091814" w:rsidP="00034D3A">
      <w:pPr>
        <w:ind w:left="274"/>
        <w:rPr>
          <w:rFonts w:ascii="Arial" w:hAnsi="Arial" w:cs="Arial"/>
        </w:rPr>
      </w:pPr>
      <w:r w:rsidRPr="00184469">
        <w:rPr>
          <w:rFonts w:ascii="Arial" w:hAnsi="Arial" w:cs="Arial"/>
        </w:rPr>
        <w:t>PubMed</w:t>
      </w:r>
    </w:p>
    <w:tbl>
      <w:tblPr>
        <w:tblStyle w:val="TableGrid"/>
        <w:tblW w:w="9355" w:type="dxa"/>
        <w:tblInd w:w="265" w:type="dxa"/>
        <w:tblLayout w:type="fixed"/>
        <w:tblLook w:val="0600" w:firstRow="0" w:lastRow="0" w:firstColumn="0" w:lastColumn="0" w:noHBand="1" w:noVBand="1"/>
      </w:tblPr>
      <w:tblGrid>
        <w:gridCol w:w="615"/>
        <w:gridCol w:w="8740"/>
      </w:tblGrid>
      <w:tr w:rsidR="005276B4" w:rsidRPr="00184469" w14:paraId="4A8EA320" w14:textId="77777777" w:rsidTr="00034D3A">
        <w:tc>
          <w:tcPr>
            <w:tcW w:w="615" w:type="dxa"/>
          </w:tcPr>
          <w:p w14:paraId="3593B25B" w14:textId="77777777" w:rsidR="005276B4" w:rsidRPr="00B20279" w:rsidRDefault="005276B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1</w:t>
            </w:r>
          </w:p>
        </w:tc>
        <w:tc>
          <w:tcPr>
            <w:tcW w:w="8740" w:type="dxa"/>
          </w:tcPr>
          <w:p w14:paraId="7E2E2000" w14:textId="77777777" w:rsidR="005276B4" w:rsidRPr="00B20279" w:rsidRDefault="005276B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immune system or immune response</w:t>
            </w:r>
          </w:p>
        </w:tc>
      </w:tr>
      <w:tr w:rsidR="005276B4" w:rsidRPr="00184469" w14:paraId="1028084F" w14:textId="77777777" w:rsidTr="00034D3A">
        <w:tc>
          <w:tcPr>
            <w:tcW w:w="615" w:type="dxa"/>
          </w:tcPr>
          <w:p w14:paraId="5D14D7AB" w14:textId="77777777" w:rsidR="005276B4" w:rsidRPr="00B20279" w:rsidRDefault="005276B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2</w:t>
            </w:r>
          </w:p>
        </w:tc>
        <w:tc>
          <w:tcPr>
            <w:tcW w:w="8740" w:type="dxa"/>
          </w:tcPr>
          <w:p w14:paraId="03A29B2F" w14:textId="77777777" w:rsidR="005276B4" w:rsidRPr="00B20279" w:rsidRDefault="005276B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chiropractic or "manual therapy" or "manual therapies" or therapeutic touch or massage or spinal manipulation or musculoskeletal manipulations or osteopathic manipulation or orthopedic manipulation</w:t>
            </w:r>
          </w:p>
        </w:tc>
      </w:tr>
      <w:tr w:rsidR="005276B4" w:rsidRPr="00184469" w14:paraId="51E4B93C" w14:textId="77777777" w:rsidTr="00034D3A">
        <w:tc>
          <w:tcPr>
            <w:tcW w:w="615" w:type="dxa"/>
          </w:tcPr>
          <w:p w14:paraId="6AD374F2" w14:textId="77777777" w:rsidR="005276B4" w:rsidRPr="00B20279" w:rsidRDefault="005276B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3</w:t>
            </w:r>
          </w:p>
        </w:tc>
        <w:tc>
          <w:tcPr>
            <w:tcW w:w="8740" w:type="dxa"/>
          </w:tcPr>
          <w:p w14:paraId="4D3A553C" w14:textId="77777777" w:rsidR="005276B4" w:rsidRPr="00B20279" w:rsidRDefault="005276B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1 and 2</w:t>
            </w:r>
          </w:p>
        </w:tc>
      </w:tr>
      <w:tr w:rsidR="00091814" w:rsidRPr="00184469" w14:paraId="30048A5A" w14:textId="77777777" w:rsidTr="00034D3A">
        <w:tc>
          <w:tcPr>
            <w:tcW w:w="615" w:type="dxa"/>
          </w:tcPr>
          <w:p w14:paraId="3D3EC4A4" w14:textId="288A2580" w:rsidR="00091814" w:rsidRPr="00B20279" w:rsidRDefault="006A332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4</w:t>
            </w:r>
          </w:p>
        </w:tc>
        <w:tc>
          <w:tcPr>
            <w:tcW w:w="8740" w:type="dxa"/>
          </w:tcPr>
          <w:p w14:paraId="2C0AA910" w14:textId="730AB423" w:rsidR="00091814" w:rsidRPr="00B20279" w:rsidRDefault="006A332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3 limit date 2018-2020</w:t>
            </w:r>
          </w:p>
        </w:tc>
      </w:tr>
      <w:tr w:rsidR="005276B4" w:rsidRPr="00184469" w14:paraId="0C9FB069" w14:textId="77777777" w:rsidTr="00034D3A">
        <w:tc>
          <w:tcPr>
            <w:tcW w:w="615" w:type="dxa"/>
          </w:tcPr>
          <w:p w14:paraId="4EA315DA" w14:textId="22D49A5E" w:rsidR="005276B4" w:rsidRPr="00B20279" w:rsidRDefault="006A332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5</w:t>
            </w:r>
          </w:p>
        </w:tc>
        <w:tc>
          <w:tcPr>
            <w:tcW w:w="8740" w:type="dxa"/>
          </w:tcPr>
          <w:p w14:paraId="618A2AFA" w14:textId="77777777" w:rsidR="005276B4" w:rsidRPr="00B20279" w:rsidRDefault="005276B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limit 3 by Article Type: Guideline, Meta-Analysis, Practice Guideline, Systematic Review</w:t>
            </w:r>
          </w:p>
        </w:tc>
      </w:tr>
      <w:tr w:rsidR="005276B4" w:rsidRPr="00184469" w14:paraId="4B8CA825" w14:textId="77777777" w:rsidTr="00034D3A">
        <w:tc>
          <w:tcPr>
            <w:tcW w:w="615" w:type="dxa"/>
          </w:tcPr>
          <w:p w14:paraId="6BAB0729" w14:textId="77777777" w:rsidR="005276B4" w:rsidRPr="00B20279" w:rsidRDefault="005276B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6</w:t>
            </w:r>
          </w:p>
        </w:tc>
        <w:tc>
          <w:tcPr>
            <w:tcW w:w="8740" w:type="dxa"/>
          </w:tcPr>
          <w:p w14:paraId="1B3E9952" w14:textId="77777777" w:rsidR="005276B4" w:rsidRPr="00B20279" w:rsidRDefault="005276B4" w:rsidP="00034D3A">
            <w:pPr>
              <w:widowControl w:val="0"/>
              <w:pBdr>
                <w:top w:val="nil"/>
                <w:left w:val="nil"/>
                <w:bottom w:val="nil"/>
                <w:right w:val="nil"/>
                <w:between w:val="nil"/>
              </w:pBdr>
              <w:ind w:left="270"/>
              <w:rPr>
                <w:rFonts w:ascii="Arial" w:hAnsi="Arial" w:cs="Arial"/>
                <w:sz w:val="22"/>
                <w:szCs w:val="22"/>
              </w:rPr>
            </w:pPr>
            <w:r w:rsidRPr="00B20279">
              <w:rPr>
                <w:rFonts w:ascii="Arial" w:hAnsi="Arial" w:cs="Arial"/>
                <w:sz w:val="22"/>
                <w:szCs w:val="22"/>
              </w:rPr>
              <w:t>5 limit language English</w:t>
            </w:r>
          </w:p>
        </w:tc>
      </w:tr>
    </w:tbl>
    <w:p w14:paraId="6E1B669C" w14:textId="77777777" w:rsidR="005276B4" w:rsidRPr="00184469" w:rsidRDefault="005276B4" w:rsidP="00034D3A">
      <w:pPr>
        <w:ind w:left="270"/>
        <w:rPr>
          <w:rFonts w:ascii="Arial" w:hAnsi="Arial" w:cs="Arial"/>
        </w:rPr>
      </w:pPr>
    </w:p>
    <w:p w14:paraId="2C3C6057" w14:textId="77777777" w:rsidR="005276B4" w:rsidRPr="00184469" w:rsidRDefault="005276B4" w:rsidP="00034D3A">
      <w:pPr>
        <w:ind w:left="270"/>
        <w:rPr>
          <w:rFonts w:ascii="Arial" w:hAnsi="Arial" w:cs="Arial"/>
        </w:rPr>
      </w:pPr>
      <w:bookmarkStart w:id="1" w:name="_Hlk67751645"/>
      <w:r w:rsidRPr="00184469">
        <w:rPr>
          <w:rFonts w:ascii="Arial" w:hAnsi="Arial" w:cs="Arial"/>
        </w:rPr>
        <w:t xml:space="preserve">Cochrane Database of Systematic Reviews </w:t>
      </w:r>
      <w:bookmarkEnd w:id="1"/>
    </w:p>
    <w:tbl>
      <w:tblPr>
        <w:tblStyle w:val="TableGrid"/>
        <w:tblW w:w="9355" w:type="dxa"/>
        <w:tblInd w:w="265" w:type="dxa"/>
        <w:tblLayout w:type="fixed"/>
        <w:tblLook w:val="0600" w:firstRow="0" w:lastRow="0" w:firstColumn="0" w:lastColumn="0" w:noHBand="1" w:noVBand="1"/>
      </w:tblPr>
      <w:tblGrid>
        <w:gridCol w:w="615"/>
        <w:gridCol w:w="8740"/>
      </w:tblGrid>
      <w:tr w:rsidR="005276B4" w:rsidRPr="00184469" w14:paraId="3B0C0888" w14:textId="77777777" w:rsidTr="00034D3A">
        <w:tc>
          <w:tcPr>
            <w:tcW w:w="615" w:type="dxa"/>
          </w:tcPr>
          <w:p w14:paraId="2348B237"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1</w:t>
            </w:r>
          </w:p>
        </w:tc>
        <w:tc>
          <w:tcPr>
            <w:tcW w:w="8740" w:type="dxa"/>
          </w:tcPr>
          <w:p w14:paraId="36E99BD5"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immune system or immune response</w:t>
            </w:r>
          </w:p>
        </w:tc>
      </w:tr>
      <w:tr w:rsidR="005276B4" w:rsidRPr="00184469" w14:paraId="34DC8110" w14:textId="77777777" w:rsidTr="00034D3A">
        <w:tc>
          <w:tcPr>
            <w:tcW w:w="615" w:type="dxa"/>
          </w:tcPr>
          <w:p w14:paraId="57B00E30"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2</w:t>
            </w:r>
          </w:p>
        </w:tc>
        <w:tc>
          <w:tcPr>
            <w:tcW w:w="8740" w:type="dxa"/>
          </w:tcPr>
          <w:p w14:paraId="181D3DE7"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chiropractic or "manual therapy" or "manual therapies" or therapeutic touch or massage or spinal manipulation or musculoskeletal manipulations or osteopathic manipulation or orthopedic manipulation</w:t>
            </w:r>
          </w:p>
        </w:tc>
      </w:tr>
      <w:tr w:rsidR="005276B4" w:rsidRPr="00184469" w14:paraId="60E1699E" w14:textId="77777777" w:rsidTr="00034D3A">
        <w:tc>
          <w:tcPr>
            <w:tcW w:w="615" w:type="dxa"/>
          </w:tcPr>
          <w:p w14:paraId="0A501ADB"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3</w:t>
            </w:r>
          </w:p>
        </w:tc>
        <w:tc>
          <w:tcPr>
            <w:tcW w:w="8740" w:type="dxa"/>
          </w:tcPr>
          <w:p w14:paraId="3E230772"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S1 and S2</w:t>
            </w:r>
          </w:p>
        </w:tc>
      </w:tr>
      <w:tr w:rsidR="005276B4" w:rsidRPr="00184469" w14:paraId="557CD9DB" w14:textId="77777777" w:rsidTr="00034D3A">
        <w:tc>
          <w:tcPr>
            <w:tcW w:w="615" w:type="dxa"/>
          </w:tcPr>
          <w:p w14:paraId="429DBDFF"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4</w:t>
            </w:r>
          </w:p>
        </w:tc>
        <w:tc>
          <w:tcPr>
            <w:tcW w:w="8740" w:type="dxa"/>
          </w:tcPr>
          <w:p w14:paraId="388EB32F"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S3 limit 2018-2020</w:t>
            </w:r>
          </w:p>
        </w:tc>
      </w:tr>
    </w:tbl>
    <w:p w14:paraId="7461D9F3" w14:textId="77777777" w:rsidR="005276B4" w:rsidRPr="00184469" w:rsidRDefault="005276B4" w:rsidP="00034D3A">
      <w:pPr>
        <w:ind w:left="270"/>
        <w:rPr>
          <w:rFonts w:ascii="Arial" w:hAnsi="Arial" w:cs="Arial"/>
          <w:b/>
        </w:rPr>
      </w:pPr>
    </w:p>
    <w:p w14:paraId="68F3264D" w14:textId="04210F0A" w:rsidR="005276B4" w:rsidRDefault="00324E1A" w:rsidP="00034D3A">
      <w:pPr>
        <w:ind w:left="270"/>
        <w:rPr>
          <w:rFonts w:ascii="Arial" w:hAnsi="Arial" w:cs="Arial"/>
          <w:b/>
        </w:rPr>
      </w:pPr>
      <w:r w:rsidRPr="00184469">
        <w:rPr>
          <w:rFonts w:ascii="Arial" w:hAnsi="Arial" w:cs="Arial"/>
          <w:b/>
        </w:rPr>
        <w:t>2. Lifestyle factors for i</w:t>
      </w:r>
      <w:r w:rsidR="005276B4" w:rsidRPr="00184469">
        <w:rPr>
          <w:rFonts w:ascii="Arial" w:hAnsi="Arial" w:cs="Arial"/>
          <w:b/>
        </w:rPr>
        <w:t xml:space="preserve">mmune system support </w:t>
      </w:r>
    </w:p>
    <w:p w14:paraId="53114EE2" w14:textId="3835D45F" w:rsidR="005276B4" w:rsidRPr="00184469" w:rsidRDefault="00893F6F" w:rsidP="00034D3A">
      <w:pPr>
        <w:ind w:left="270"/>
        <w:rPr>
          <w:rFonts w:ascii="Arial" w:hAnsi="Arial" w:cs="Arial"/>
        </w:rPr>
      </w:pPr>
      <w:r>
        <w:rPr>
          <w:rFonts w:ascii="Arial" w:hAnsi="Arial" w:cs="Arial"/>
        </w:rPr>
        <w:t>PubMed</w:t>
      </w:r>
    </w:p>
    <w:tbl>
      <w:tblPr>
        <w:tblStyle w:val="TableGrid"/>
        <w:tblW w:w="9360" w:type="dxa"/>
        <w:tblInd w:w="265" w:type="dxa"/>
        <w:tblLayout w:type="fixed"/>
        <w:tblLook w:val="0600" w:firstRow="0" w:lastRow="0" w:firstColumn="0" w:lastColumn="0" w:noHBand="1" w:noVBand="1"/>
      </w:tblPr>
      <w:tblGrid>
        <w:gridCol w:w="615"/>
        <w:gridCol w:w="8745"/>
      </w:tblGrid>
      <w:tr w:rsidR="005276B4" w:rsidRPr="00184469" w14:paraId="32874356" w14:textId="77777777" w:rsidTr="00034D3A">
        <w:tc>
          <w:tcPr>
            <w:tcW w:w="615" w:type="dxa"/>
          </w:tcPr>
          <w:p w14:paraId="5A0C180E"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1</w:t>
            </w:r>
          </w:p>
        </w:tc>
        <w:tc>
          <w:tcPr>
            <w:tcW w:w="8745" w:type="dxa"/>
          </w:tcPr>
          <w:p w14:paraId="1D03B6C4" w14:textId="77777777" w:rsidR="005276B4" w:rsidRPr="00B20279" w:rsidRDefault="005276B4" w:rsidP="00034D3A">
            <w:pPr>
              <w:widowControl w:val="0"/>
              <w:tabs>
                <w:tab w:val="left" w:pos="9396"/>
              </w:tabs>
              <w:ind w:left="270"/>
              <w:rPr>
                <w:rFonts w:ascii="Arial" w:hAnsi="Arial" w:cs="Arial"/>
                <w:sz w:val="22"/>
                <w:szCs w:val="22"/>
              </w:rPr>
            </w:pPr>
            <w:r w:rsidRPr="00B20279">
              <w:rPr>
                <w:rFonts w:ascii="Arial" w:hAnsi="Arial" w:cs="Arial"/>
                <w:sz w:val="22"/>
                <w:szCs w:val="22"/>
              </w:rPr>
              <w:t>immune system or immune response</w:t>
            </w:r>
          </w:p>
        </w:tc>
      </w:tr>
      <w:tr w:rsidR="005276B4" w:rsidRPr="00184469" w14:paraId="6D7D217C" w14:textId="77777777" w:rsidTr="00034D3A">
        <w:trPr>
          <w:trHeight w:val="98"/>
        </w:trPr>
        <w:tc>
          <w:tcPr>
            <w:tcW w:w="615" w:type="dxa"/>
          </w:tcPr>
          <w:p w14:paraId="0A2F14AF"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2</w:t>
            </w:r>
          </w:p>
        </w:tc>
        <w:tc>
          <w:tcPr>
            <w:tcW w:w="8745" w:type="dxa"/>
          </w:tcPr>
          <w:p w14:paraId="4B393A44" w14:textId="77777777" w:rsidR="005276B4" w:rsidRPr="00B20279" w:rsidRDefault="005276B4" w:rsidP="00034D3A">
            <w:pPr>
              <w:ind w:left="270"/>
              <w:rPr>
                <w:rFonts w:ascii="Arial" w:hAnsi="Arial" w:cs="Arial"/>
                <w:sz w:val="22"/>
                <w:szCs w:val="22"/>
              </w:rPr>
            </w:pPr>
            <w:r w:rsidRPr="00B20279">
              <w:rPr>
                <w:rFonts w:ascii="Arial" w:eastAsia="Roboto" w:hAnsi="Arial" w:cs="Arial"/>
                <w:color w:val="201F1E"/>
                <w:sz w:val="22"/>
                <w:szCs w:val="22"/>
                <w:highlight w:val="white"/>
              </w:rPr>
              <w:t>sleep or "stress" or dietary factors or exercise or "physical activity" or diet therapy or nutrition or nutritional</w:t>
            </w:r>
          </w:p>
        </w:tc>
      </w:tr>
      <w:tr w:rsidR="005276B4" w:rsidRPr="00184469" w14:paraId="1C290FC6" w14:textId="77777777" w:rsidTr="00034D3A">
        <w:tc>
          <w:tcPr>
            <w:tcW w:w="615" w:type="dxa"/>
          </w:tcPr>
          <w:p w14:paraId="747A89A1"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3</w:t>
            </w:r>
          </w:p>
        </w:tc>
        <w:tc>
          <w:tcPr>
            <w:tcW w:w="8745" w:type="dxa"/>
          </w:tcPr>
          <w:p w14:paraId="1BFEE1CC"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1 and 2</w:t>
            </w:r>
          </w:p>
        </w:tc>
      </w:tr>
      <w:tr w:rsidR="005276B4" w:rsidRPr="00184469" w14:paraId="5B189C4A" w14:textId="77777777" w:rsidTr="00034D3A">
        <w:tc>
          <w:tcPr>
            <w:tcW w:w="615" w:type="dxa"/>
          </w:tcPr>
          <w:p w14:paraId="6E4EEF66"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4</w:t>
            </w:r>
          </w:p>
        </w:tc>
        <w:tc>
          <w:tcPr>
            <w:tcW w:w="8745" w:type="dxa"/>
          </w:tcPr>
          <w:p w14:paraId="65431F67"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limit 3 by Article Type: Guideline, Meta-Analysis, Practice Guideline,  Systematic Review</w:t>
            </w:r>
          </w:p>
        </w:tc>
      </w:tr>
      <w:tr w:rsidR="005276B4" w:rsidRPr="00184469" w14:paraId="3F6C9448" w14:textId="77777777" w:rsidTr="00034D3A">
        <w:tc>
          <w:tcPr>
            <w:tcW w:w="615" w:type="dxa"/>
          </w:tcPr>
          <w:p w14:paraId="5A30B5F9"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5</w:t>
            </w:r>
          </w:p>
        </w:tc>
        <w:tc>
          <w:tcPr>
            <w:tcW w:w="8745" w:type="dxa"/>
          </w:tcPr>
          <w:p w14:paraId="19C1EB4C"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4 limit 2018-2020</w:t>
            </w:r>
          </w:p>
        </w:tc>
      </w:tr>
      <w:tr w:rsidR="005276B4" w:rsidRPr="00184469" w14:paraId="5CD0FBBE" w14:textId="77777777" w:rsidTr="00034D3A">
        <w:tc>
          <w:tcPr>
            <w:tcW w:w="615" w:type="dxa"/>
          </w:tcPr>
          <w:p w14:paraId="4381678C"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6</w:t>
            </w:r>
          </w:p>
        </w:tc>
        <w:tc>
          <w:tcPr>
            <w:tcW w:w="8745" w:type="dxa"/>
          </w:tcPr>
          <w:p w14:paraId="566E3415" w14:textId="77777777" w:rsidR="005276B4" w:rsidRPr="00B20279" w:rsidRDefault="005276B4" w:rsidP="00034D3A">
            <w:pPr>
              <w:widowControl w:val="0"/>
              <w:ind w:left="270"/>
              <w:rPr>
                <w:rFonts w:ascii="Arial" w:hAnsi="Arial" w:cs="Arial"/>
                <w:sz w:val="22"/>
                <w:szCs w:val="22"/>
              </w:rPr>
            </w:pPr>
            <w:r w:rsidRPr="00B20279">
              <w:rPr>
                <w:rFonts w:ascii="Arial" w:hAnsi="Arial" w:cs="Arial"/>
                <w:sz w:val="22"/>
                <w:szCs w:val="22"/>
              </w:rPr>
              <w:t>5 limit language English</w:t>
            </w:r>
          </w:p>
        </w:tc>
      </w:tr>
    </w:tbl>
    <w:p w14:paraId="0D6CC2AC" w14:textId="77777777" w:rsidR="005276B4" w:rsidRPr="00184469" w:rsidRDefault="005276B4" w:rsidP="00034D3A">
      <w:pPr>
        <w:ind w:left="270"/>
        <w:rPr>
          <w:rFonts w:ascii="Arial" w:hAnsi="Arial" w:cs="Arial"/>
          <w:color w:val="201F1E"/>
          <w:highlight w:val="white"/>
        </w:rPr>
      </w:pPr>
    </w:p>
    <w:p w14:paraId="2074EEA4" w14:textId="77777777" w:rsidR="005276B4" w:rsidRPr="00184469" w:rsidRDefault="005276B4" w:rsidP="00034D3A">
      <w:pPr>
        <w:ind w:left="270"/>
        <w:rPr>
          <w:rFonts w:ascii="Arial" w:hAnsi="Arial" w:cs="Arial"/>
          <w:color w:val="201F1E"/>
          <w:highlight w:val="white"/>
        </w:rPr>
      </w:pPr>
      <w:r w:rsidRPr="00184469">
        <w:rPr>
          <w:rFonts w:ascii="Arial" w:hAnsi="Arial" w:cs="Arial"/>
          <w:color w:val="201F1E"/>
          <w:highlight w:val="white"/>
        </w:rPr>
        <w:t xml:space="preserve">Cochrane Database of Systematic Reviews </w:t>
      </w:r>
    </w:p>
    <w:tbl>
      <w:tblPr>
        <w:tblStyle w:val="TableGrid"/>
        <w:tblW w:w="9355" w:type="dxa"/>
        <w:tblInd w:w="265" w:type="dxa"/>
        <w:tblLayout w:type="fixed"/>
        <w:tblLook w:val="0600" w:firstRow="0" w:lastRow="0" w:firstColumn="0" w:lastColumn="0" w:noHBand="1" w:noVBand="1"/>
      </w:tblPr>
      <w:tblGrid>
        <w:gridCol w:w="615"/>
        <w:gridCol w:w="8740"/>
      </w:tblGrid>
      <w:tr w:rsidR="005276B4" w:rsidRPr="00184469" w14:paraId="08A5F103" w14:textId="77777777" w:rsidTr="00034D3A">
        <w:tc>
          <w:tcPr>
            <w:tcW w:w="615" w:type="dxa"/>
          </w:tcPr>
          <w:p w14:paraId="40F3DF39" w14:textId="77777777" w:rsidR="005276B4" w:rsidRPr="00B20279" w:rsidRDefault="005276B4" w:rsidP="007E3553">
            <w:pPr>
              <w:rPr>
                <w:rFonts w:ascii="Arial" w:hAnsi="Arial" w:cs="Arial"/>
                <w:bCs/>
                <w:sz w:val="22"/>
                <w:szCs w:val="22"/>
              </w:rPr>
            </w:pPr>
            <w:r w:rsidRPr="00B20279">
              <w:rPr>
                <w:rFonts w:ascii="Arial" w:hAnsi="Arial" w:cs="Arial"/>
                <w:bCs/>
                <w:sz w:val="22"/>
                <w:szCs w:val="22"/>
              </w:rPr>
              <w:t>1</w:t>
            </w:r>
          </w:p>
        </w:tc>
        <w:tc>
          <w:tcPr>
            <w:tcW w:w="8740" w:type="dxa"/>
          </w:tcPr>
          <w:p w14:paraId="66C758C8" w14:textId="77777777" w:rsidR="005276B4" w:rsidRPr="00B20279" w:rsidRDefault="005276B4" w:rsidP="007E3553">
            <w:pPr>
              <w:rPr>
                <w:rFonts w:ascii="Arial" w:hAnsi="Arial" w:cs="Arial"/>
                <w:bCs/>
                <w:sz w:val="22"/>
                <w:szCs w:val="22"/>
              </w:rPr>
            </w:pPr>
            <w:r w:rsidRPr="00B20279">
              <w:rPr>
                <w:rFonts w:ascii="Arial" w:hAnsi="Arial" w:cs="Arial"/>
                <w:bCs/>
                <w:sz w:val="22"/>
                <w:szCs w:val="22"/>
              </w:rPr>
              <w:t>immune system or immune response</w:t>
            </w:r>
          </w:p>
        </w:tc>
      </w:tr>
      <w:tr w:rsidR="005276B4" w:rsidRPr="00184469" w14:paraId="0183704F" w14:textId="77777777" w:rsidTr="00034D3A">
        <w:tc>
          <w:tcPr>
            <w:tcW w:w="615" w:type="dxa"/>
          </w:tcPr>
          <w:p w14:paraId="611BB955" w14:textId="77777777" w:rsidR="005276B4" w:rsidRPr="00B20279" w:rsidRDefault="005276B4" w:rsidP="007E3553">
            <w:pPr>
              <w:rPr>
                <w:rFonts w:ascii="Arial" w:hAnsi="Arial" w:cs="Arial"/>
                <w:bCs/>
                <w:sz w:val="22"/>
                <w:szCs w:val="22"/>
              </w:rPr>
            </w:pPr>
            <w:r w:rsidRPr="00B20279">
              <w:rPr>
                <w:rFonts w:ascii="Arial" w:hAnsi="Arial" w:cs="Arial"/>
                <w:bCs/>
                <w:sz w:val="22"/>
                <w:szCs w:val="22"/>
              </w:rPr>
              <w:t>2</w:t>
            </w:r>
          </w:p>
        </w:tc>
        <w:tc>
          <w:tcPr>
            <w:tcW w:w="8740" w:type="dxa"/>
          </w:tcPr>
          <w:p w14:paraId="7FA1E963" w14:textId="77777777" w:rsidR="005276B4" w:rsidRPr="00B20279" w:rsidRDefault="005276B4" w:rsidP="007E3553">
            <w:pPr>
              <w:rPr>
                <w:rFonts w:ascii="Arial" w:hAnsi="Arial" w:cs="Arial"/>
                <w:bCs/>
                <w:sz w:val="22"/>
                <w:szCs w:val="22"/>
              </w:rPr>
            </w:pPr>
            <w:r w:rsidRPr="00B20279">
              <w:rPr>
                <w:rFonts w:ascii="Arial" w:hAnsi="Arial" w:cs="Arial"/>
                <w:bCs/>
                <w:sz w:val="22"/>
                <w:szCs w:val="22"/>
              </w:rPr>
              <w:t>(</w:t>
            </w:r>
            <w:proofErr w:type="gramStart"/>
            <w:r w:rsidRPr="00B20279">
              <w:rPr>
                <w:rFonts w:ascii="Arial" w:hAnsi="Arial" w:cs="Arial"/>
                <w:bCs/>
                <w:sz w:val="22"/>
                <w:szCs w:val="22"/>
              </w:rPr>
              <w:t>immune</w:t>
            </w:r>
            <w:proofErr w:type="gramEnd"/>
            <w:r w:rsidRPr="00B20279">
              <w:rPr>
                <w:rFonts w:ascii="Arial" w:hAnsi="Arial" w:cs="Arial"/>
                <w:bCs/>
                <w:sz w:val="22"/>
                <w:szCs w:val="22"/>
              </w:rPr>
              <w:t xml:space="preserve"> system or "immune response") and (sleep or "stress" or dietary factors or exercise or "physical activity" or diet therapy or nutrition or nutritional)</w:t>
            </w:r>
          </w:p>
        </w:tc>
      </w:tr>
      <w:tr w:rsidR="005276B4" w:rsidRPr="00184469" w14:paraId="1CBCAD53" w14:textId="77777777" w:rsidTr="00034D3A">
        <w:tc>
          <w:tcPr>
            <w:tcW w:w="615" w:type="dxa"/>
          </w:tcPr>
          <w:p w14:paraId="2A782532" w14:textId="77777777" w:rsidR="005276B4" w:rsidRPr="00B20279" w:rsidRDefault="005276B4" w:rsidP="007E3553">
            <w:pPr>
              <w:rPr>
                <w:rFonts w:ascii="Arial" w:hAnsi="Arial" w:cs="Arial"/>
                <w:bCs/>
                <w:sz w:val="22"/>
                <w:szCs w:val="22"/>
              </w:rPr>
            </w:pPr>
            <w:r w:rsidRPr="00B20279">
              <w:rPr>
                <w:rFonts w:ascii="Arial" w:hAnsi="Arial" w:cs="Arial"/>
                <w:bCs/>
                <w:sz w:val="22"/>
                <w:szCs w:val="22"/>
              </w:rPr>
              <w:t>3</w:t>
            </w:r>
          </w:p>
        </w:tc>
        <w:tc>
          <w:tcPr>
            <w:tcW w:w="8740" w:type="dxa"/>
          </w:tcPr>
          <w:p w14:paraId="5E37C63B" w14:textId="77777777" w:rsidR="005276B4" w:rsidRPr="00B20279" w:rsidRDefault="005276B4" w:rsidP="007E3553">
            <w:pPr>
              <w:rPr>
                <w:rFonts w:ascii="Arial" w:hAnsi="Arial" w:cs="Arial"/>
                <w:bCs/>
                <w:sz w:val="22"/>
                <w:szCs w:val="22"/>
              </w:rPr>
            </w:pPr>
            <w:r w:rsidRPr="00B20279">
              <w:rPr>
                <w:rFonts w:ascii="Arial" w:hAnsi="Arial" w:cs="Arial"/>
                <w:bCs/>
                <w:sz w:val="22"/>
                <w:szCs w:val="22"/>
              </w:rPr>
              <w:t>S1 and S2</w:t>
            </w:r>
          </w:p>
        </w:tc>
      </w:tr>
      <w:tr w:rsidR="005276B4" w:rsidRPr="00184469" w14:paraId="3284FAEF" w14:textId="77777777" w:rsidTr="00034D3A">
        <w:tc>
          <w:tcPr>
            <w:tcW w:w="615" w:type="dxa"/>
          </w:tcPr>
          <w:p w14:paraId="0D5209E5" w14:textId="77777777" w:rsidR="005276B4" w:rsidRPr="00B20279" w:rsidRDefault="005276B4" w:rsidP="007E3553">
            <w:pPr>
              <w:rPr>
                <w:rFonts w:ascii="Arial" w:hAnsi="Arial" w:cs="Arial"/>
                <w:bCs/>
                <w:sz w:val="22"/>
                <w:szCs w:val="22"/>
              </w:rPr>
            </w:pPr>
            <w:r w:rsidRPr="00B20279">
              <w:rPr>
                <w:rFonts w:ascii="Arial" w:hAnsi="Arial" w:cs="Arial"/>
                <w:bCs/>
                <w:sz w:val="22"/>
                <w:szCs w:val="22"/>
              </w:rPr>
              <w:t>4</w:t>
            </w:r>
          </w:p>
        </w:tc>
        <w:tc>
          <w:tcPr>
            <w:tcW w:w="8740" w:type="dxa"/>
          </w:tcPr>
          <w:p w14:paraId="1F524746" w14:textId="77777777" w:rsidR="005276B4" w:rsidRPr="00B20279" w:rsidRDefault="005276B4" w:rsidP="007E3553">
            <w:pPr>
              <w:rPr>
                <w:rFonts w:ascii="Arial" w:hAnsi="Arial" w:cs="Arial"/>
                <w:bCs/>
                <w:sz w:val="22"/>
                <w:szCs w:val="22"/>
              </w:rPr>
            </w:pPr>
            <w:r w:rsidRPr="00B20279">
              <w:rPr>
                <w:rFonts w:ascii="Arial" w:hAnsi="Arial" w:cs="Arial"/>
                <w:bCs/>
                <w:sz w:val="22"/>
                <w:szCs w:val="22"/>
              </w:rPr>
              <w:t>S3 limit 2018-2020</w:t>
            </w:r>
          </w:p>
        </w:tc>
      </w:tr>
    </w:tbl>
    <w:p w14:paraId="21171308" w14:textId="77777777" w:rsidR="002536B2" w:rsidRDefault="002536B2">
      <w:pPr>
        <w:rPr>
          <w:rFonts w:ascii="Arial" w:hAnsi="Arial" w:cs="Arial"/>
          <w:bCs/>
        </w:rPr>
      </w:pPr>
    </w:p>
    <w:p w14:paraId="329B66A3" w14:textId="55D693DC" w:rsidR="005276B4" w:rsidRPr="00E7468B" w:rsidRDefault="00493725" w:rsidP="00E7468B">
      <w:pPr>
        <w:ind w:left="270"/>
        <w:rPr>
          <w:rFonts w:ascii="Arial" w:hAnsi="Arial" w:cs="Arial"/>
          <w:b/>
        </w:rPr>
      </w:pPr>
      <w:r>
        <w:rPr>
          <w:rFonts w:ascii="Arial" w:hAnsi="Arial" w:cs="Arial"/>
          <w:b/>
        </w:rPr>
        <w:t xml:space="preserve">3. </w:t>
      </w:r>
      <w:r w:rsidR="008A1B1B" w:rsidRPr="00E7468B">
        <w:rPr>
          <w:rFonts w:ascii="Arial" w:hAnsi="Arial" w:cs="Arial"/>
          <w:b/>
        </w:rPr>
        <w:t>Hygiene/infection control</w:t>
      </w:r>
      <w:r w:rsidR="002536B2" w:rsidRPr="00E7468B">
        <w:rPr>
          <w:rFonts w:ascii="Arial" w:hAnsi="Arial" w:cs="Arial"/>
          <w:b/>
        </w:rPr>
        <w:t xml:space="preserve"> in chiropractic offices</w:t>
      </w:r>
    </w:p>
    <w:p w14:paraId="4289E4F0" w14:textId="792CCF0F" w:rsidR="002536B2" w:rsidRPr="008A1B1B" w:rsidRDefault="002536B2" w:rsidP="00E7468B">
      <w:pPr>
        <w:ind w:left="270"/>
        <w:rPr>
          <w:rFonts w:ascii="Arial" w:hAnsi="Arial" w:cs="Arial"/>
          <w:bCs/>
        </w:rPr>
      </w:pPr>
      <w:r>
        <w:rPr>
          <w:rFonts w:ascii="Arial" w:hAnsi="Arial" w:cs="Arial"/>
          <w:bCs/>
        </w:rPr>
        <w:t>PubMed</w:t>
      </w:r>
    </w:p>
    <w:tbl>
      <w:tblPr>
        <w:tblStyle w:val="TableGrid"/>
        <w:tblW w:w="9360" w:type="dxa"/>
        <w:tblInd w:w="265" w:type="dxa"/>
        <w:tblLayout w:type="fixed"/>
        <w:tblLook w:val="0600" w:firstRow="0" w:lastRow="0" w:firstColumn="0" w:lastColumn="0" w:noHBand="1" w:noVBand="1"/>
      </w:tblPr>
      <w:tblGrid>
        <w:gridCol w:w="615"/>
        <w:gridCol w:w="8745"/>
      </w:tblGrid>
      <w:tr w:rsidR="00A266D9" w:rsidRPr="00A266D9" w14:paraId="6697E4E8" w14:textId="77777777" w:rsidTr="005C77F9">
        <w:tc>
          <w:tcPr>
            <w:tcW w:w="615" w:type="dxa"/>
          </w:tcPr>
          <w:p w14:paraId="099FDB05" w14:textId="77777777" w:rsidR="00A266D9" w:rsidRPr="00A266D9" w:rsidRDefault="00A266D9" w:rsidP="00A266D9">
            <w:pPr>
              <w:rPr>
                <w:rFonts w:ascii="Arial" w:hAnsi="Arial" w:cs="Arial"/>
                <w:sz w:val="22"/>
                <w:szCs w:val="22"/>
              </w:rPr>
            </w:pPr>
            <w:r w:rsidRPr="00A266D9">
              <w:rPr>
                <w:rFonts w:ascii="Arial" w:hAnsi="Arial" w:cs="Arial"/>
                <w:sz w:val="22"/>
                <w:szCs w:val="22"/>
              </w:rPr>
              <w:t>1</w:t>
            </w:r>
          </w:p>
        </w:tc>
        <w:tc>
          <w:tcPr>
            <w:tcW w:w="8745" w:type="dxa"/>
          </w:tcPr>
          <w:p w14:paraId="54A2049D" w14:textId="071D14FE" w:rsidR="00A266D9" w:rsidRPr="00A266D9" w:rsidRDefault="00A266D9" w:rsidP="00A266D9">
            <w:pPr>
              <w:rPr>
                <w:rFonts w:ascii="Arial" w:hAnsi="Arial" w:cs="Arial"/>
                <w:sz w:val="22"/>
                <w:szCs w:val="22"/>
              </w:rPr>
            </w:pPr>
            <w:r w:rsidRPr="006F107E">
              <w:rPr>
                <w:rFonts w:ascii="Arial" w:hAnsi="Arial" w:cs="Arial"/>
                <w:sz w:val="22"/>
                <w:szCs w:val="22"/>
              </w:rPr>
              <w:t>disinfection or hygiene or infection control or infectious disease control or "equipment contamination" or hand washing or hand hygiene or microbes</w:t>
            </w:r>
          </w:p>
        </w:tc>
      </w:tr>
      <w:tr w:rsidR="00A266D9" w:rsidRPr="00A266D9" w14:paraId="2BDE6F72" w14:textId="77777777" w:rsidTr="005C77F9">
        <w:trPr>
          <w:trHeight w:val="98"/>
        </w:trPr>
        <w:tc>
          <w:tcPr>
            <w:tcW w:w="615" w:type="dxa"/>
          </w:tcPr>
          <w:p w14:paraId="6C358B5E" w14:textId="77777777" w:rsidR="00A266D9" w:rsidRPr="00A266D9" w:rsidRDefault="00A266D9" w:rsidP="00A266D9">
            <w:pPr>
              <w:rPr>
                <w:rFonts w:ascii="Arial" w:hAnsi="Arial" w:cs="Arial"/>
                <w:sz w:val="22"/>
                <w:szCs w:val="22"/>
              </w:rPr>
            </w:pPr>
            <w:r w:rsidRPr="00A266D9">
              <w:rPr>
                <w:rFonts w:ascii="Arial" w:hAnsi="Arial" w:cs="Arial"/>
                <w:sz w:val="22"/>
                <w:szCs w:val="22"/>
              </w:rPr>
              <w:t>2</w:t>
            </w:r>
          </w:p>
        </w:tc>
        <w:tc>
          <w:tcPr>
            <w:tcW w:w="8745" w:type="dxa"/>
          </w:tcPr>
          <w:p w14:paraId="5D309559" w14:textId="0B41DB0E" w:rsidR="00A266D9" w:rsidRPr="00A266D9" w:rsidRDefault="00A266D9" w:rsidP="00A266D9">
            <w:pPr>
              <w:rPr>
                <w:rFonts w:ascii="Arial" w:hAnsi="Arial" w:cs="Arial"/>
                <w:sz w:val="22"/>
                <w:szCs w:val="22"/>
              </w:rPr>
            </w:pPr>
            <w:r w:rsidRPr="00E7468B">
              <w:rPr>
                <w:rFonts w:ascii="Arial" w:hAnsi="Arial" w:cs="Arial"/>
                <w:sz w:val="22"/>
                <w:szCs w:val="22"/>
              </w:rPr>
              <w:t>chiropractic</w:t>
            </w:r>
          </w:p>
        </w:tc>
      </w:tr>
      <w:tr w:rsidR="00A266D9" w:rsidRPr="00A266D9" w14:paraId="0CA1C361" w14:textId="77777777" w:rsidTr="005C77F9">
        <w:tc>
          <w:tcPr>
            <w:tcW w:w="615" w:type="dxa"/>
          </w:tcPr>
          <w:p w14:paraId="0F662269" w14:textId="77777777" w:rsidR="00A266D9" w:rsidRPr="00A266D9" w:rsidRDefault="00A266D9" w:rsidP="00A266D9">
            <w:pPr>
              <w:rPr>
                <w:rFonts w:ascii="Arial" w:hAnsi="Arial" w:cs="Arial"/>
                <w:sz w:val="22"/>
                <w:szCs w:val="22"/>
              </w:rPr>
            </w:pPr>
            <w:r w:rsidRPr="00A266D9">
              <w:rPr>
                <w:rFonts w:ascii="Arial" w:hAnsi="Arial" w:cs="Arial"/>
                <w:sz w:val="22"/>
                <w:szCs w:val="22"/>
              </w:rPr>
              <w:t>3</w:t>
            </w:r>
          </w:p>
        </w:tc>
        <w:tc>
          <w:tcPr>
            <w:tcW w:w="8745" w:type="dxa"/>
          </w:tcPr>
          <w:p w14:paraId="5C42E03F" w14:textId="77777777" w:rsidR="00A266D9" w:rsidRPr="00A266D9" w:rsidRDefault="00A266D9" w:rsidP="00A266D9">
            <w:pPr>
              <w:rPr>
                <w:rFonts w:ascii="Arial" w:hAnsi="Arial" w:cs="Arial"/>
                <w:sz w:val="22"/>
                <w:szCs w:val="22"/>
              </w:rPr>
            </w:pPr>
            <w:r w:rsidRPr="00A266D9">
              <w:rPr>
                <w:rFonts w:ascii="Arial" w:hAnsi="Arial" w:cs="Arial"/>
                <w:sz w:val="22"/>
                <w:szCs w:val="22"/>
              </w:rPr>
              <w:t>1 and 2</w:t>
            </w:r>
          </w:p>
        </w:tc>
      </w:tr>
      <w:tr w:rsidR="00A266D9" w:rsidRPr="00A266D9" w14:paraId="0F17F3F2" w14:textId="77777777" w:rsidTr="005C77F9">
        <w:tc>
          <w:tcPr>
            <w:tcW w:w="615" w:type="dxa"/>
          </w:tcPr>
          <w:p w14:paraId="34D128B2" w14:textId="77777777" w:rsidR="00A266D9" w:rsidRPr="00A266D9" w:rsidRDefault="00A266D9" w:rsidP="00A266D9">
            <w:pPr>
              <w:rPr>
                <w:rFonts w:ascii="Arial" w:hAnsi="Arial" w:cs="Arial"/>
                <w:sz w:val="22"/>
                <w:szCs w:val="22"/>
              </w:rPr>
            </w:pPr>
            <w:r w:rsidRPr="00A266D9">
              <w:rPr>
                <w:rFonts w:ascii="Arial" w:hAnsi="Arial" w:cs="Arial"/>
                <w:sz w:val="22"/>
                <w:szCs w:val="22"/>
              </w:rPr>
              <w:t>4</w:t>
            </w:r>
          </w:p>
        </w:tc>
        <w:tc>
          <w:tcPr>
            <w:tcW w:w="8745" w:type="dxa"/>
          </w:tcPr>
          <w:p w14:paraId="571300F1" w14:textId="77777777" w:rsidR="00A266D9" w:rsidRPr="00A266D9" w:rsidRDefault="00A266D9" w:rsidP="00A266D9">
            <w:pPr>
              <w:rPr>
                <w:rFonts w:ascii="Arial" w:hAnsi="Arial" w:cs="Arial"/>
                <w:sz w:val="22"/>
                <w:szCs w:val="22"/>
              </w:rPr>
            </w:pPr>
            <w:r w:rsidRPr="00A266D9">
              <w:rPr>
                <w:rFonts w:ascii="Arial" w:hAnsi="Arial" w:cs="Arial"/>
                <w:sz w:val="22"/>
                <w:szCs w:val="22"/>
              </w:rPr>
              <w:t>limit 3 by Article Type: Guideline, Meta-Analysis, Practice Guideline,  Systematic Review</w:t>
            </w:r>
          </w:p>
        </w:tc>
      </w:tr>
      <w:tr w:rsidR="00A266D9" w:rsidRPr="00A266D9" w14:paraId="5AA0C73A" w14:textId="77777777" w:rsidTr="005C77F9">
        <w:tc>
          <w:tcPr>
            <w:tcW w:w="615" w:type="dxa"/>
          </w:tcPr>
          <w:p w14:paraId="24F64EF3" w14:textId="77777777" w:rsidR="00A266D9" w:rsidRPr="00A266D9" w:rsidRDefault="00A266D9" w:rsidP="00A266D9">
            <w:pPr>
              <w:rPr>
                <w:rFonts w:ascii="Arial" w:hAnsi="Arial" w:cs="Arial"/>
                <w:sz w:val="22"/>
                <w:szCs w:val="22"/>
              </w:rPr>
            </w:pPr>
            <w:r w:rsidRPr="00A266D9">
              <w:rPr>
                <w:rFonts w:ascii="Arial" w:hAnsi="Arial" w:cs="Arial"/>
                <w:sz w:val="22"/>
                <w:szCs w:val="22"/>
              </w:rPr>
              <w:t>5</w:t>
            </w:r>
          </w:p>
        </w:tc>
        <w:tc>
          <w:tcPr>
            <w:tcW w:w="8745" w:type="dxa"/>
          </w:tcPr>
          <w:p w14:paraId="183F976C" w14:textId="77777777" w:rsidR="00A266D9" w:rsidRPr="00A266D9" w:rsidRDefault="00A266D9" w:rsidP="00A266D9">
            <w:pPr>
              <w:rPr>
                <w:rFonts w:ascii="Arial" w:hAnsi="Arial" w:cs="Arial"/>
                <w:sz w:val="22"/>
                <w:szCs w:val="22"/>
              </w:rPr>
            </w:pPr>
            <w:r w:rsidRPr="00A266D9">
              <w:rPr>
                <w:rFonts w:ascii="Arial" w:hAnsi="Arial" w:cs="Arial"/>
                <w:sz w:val="22"/>
                <w:szCs w:val="22"/>
              </w:rPr>
              <w:t>4 limit 2018-2020</w:t>
            </w:r>
          </w:p>
        </w:tc>
      </w:tr>
      <w:tr w:rsidR="00A266D9" w:rsidRPr="00A266D9" w14:paraId="3764E9E8" w14:textId="77777777" w:rsidTr="005C77F9">
        <w:tc>
          <w:tcPr>
            <w:tcW w:w="615" w:type="dxa"/>
          </w:tcPr>
          <w:p w14:paraId="6507D05D" w14:textId="77777777" w:rsidR="00A266D9" w:rsidRPr="00A266D9" w:rsidRDefault="00A266D9" w:rsidP="00A266D9">
            <w:pPr>
              <w:rPr>
                <w:rFonts w:ascii="Arial" w:hAnsi="Arial" w:cs="Arial"/>
              </w:rPr>
            </w:pPr>
            <w:r w:rsidRPr="00A266D9">
              <w:rPr>
                <w:rFonts w:ascii="Arial" w:hAnsi="Arial" w:cs="Arial"/>
              </w:rPr>
              <w:t>6</w:t>
            </w:r>
          </w:p>
        </w:tc>
        <w:tc>
          <w:tcPr>
            <w:tcW w:w="8745" w:type="dxa"/>
          </w:tcPr>
          <w:p w14:paraId="77D166E2" w14:textId="77777777" w:rsidR="00A266D9" w:rsidRPr="00A266D9" w:rsidRDefault="00A266D9" w:rsidP="00A266D9">
            <w:pPr>
              <w:rPr>
                <w:rFonts w:ascii="Arial" w:hAnsi="Arial" w:cs="Arial"/>
              </w:rPr>
            </w:pPr>
            <w:r w:rsidRPr="00A266D9">
              <w:rPr>
                <w:rFonts w:ascii="Arial" w:hAnsi="Arial" w:cs="Arial"/>
              </w:rPr>
              <w:t>5 limit language English</w:t>
            </w:r>
          </w:p>
        </w:tc>
      </w:tr>
    </w:tbl>
    <w:p w14:paraId="6F300B90" w14:textId="77777777" w:rsidR="00E7468B" w:rsidRDefault="00E7468B" w:rsidP="00E7468B">
      <w:pPr>
        <w:rPr>
          <w:rFonts w:ascii="Arial" w:hAnsi="Arial" w:cs="Arial"/>
        </w:rPr>
      </w:pPr>
    </w:p>
    <w:p w14:paraId="3C112409" w14:textId="2C2A55F3" w:rsidR="00E7468B" w:rsidRPr="00E7468B" w:rsidRDefault="00E7468B" w:rsidP="00E7468B">
      <w:pPr>
        <w:ind w:left="270"/>
        <w:rPr>
          <w:rFonts w:ascii="Arial" w:hAnsi="Arial" w:cs="Arial"/>
        </w:rPr>
      </w:pPr>
      <w:r w:rsidRPr="00E7468B">
        <w:rPr>
          <w:rFonts w:ascii="Arial" w:hAnsi="Arial" w:cs="Arial"/>
        </w:rPr>
        <w:t xml:space="preserve">Cochrane Database of Systematic Reviews </w:t>
      </w:r>
    </w:p>
    <w:tbl>
      <w:tblPr>
        <w:tblStyle w:val="TableGrid"/>
        <w:tblW w:w="9355" w:type="dxa"/>
        <w:tblInd w:w="265" w:type="dxa"/>
        <w:tblLayout w:type="fixed"/>
        <w:tblLook w:val="0600" w:firstRow="0" w:lastRow="0" w:firstColumn="0" w:lastColumn="0" w:noHBand="1" w:noVBand="1"/>
      </w:tblPr>
      <w:tblGrid>
        <w:gridCol w:w="615"/>
        <w:gridCol w:w="8740"/>
      </w:tblGrid>
      <w:tr w:rsidR="00E7468B" w:rsidRPr="002536B2" w14:paraId="759D1F92" w14:textId="77777777" w:rsidTr="005C77F9">
        <w:tc>
          <w:tcPr>
            <w:tcW w:w="615" w:type="dxa"/>
          </w:tcPr>
          <w:p w14:paraId="607F37F0" w14:textId="77777777" w:rsidR="00E7468B" w:rsidRPr="002536B2" w:rsidRDefault="00E7468B" w:rsidP="00E7468B">
            <w:pPr>
              <w:rPr>
                <w:rFonts w:ascii="Arial" w:hAnsi="Arial" w:cs="Arial"/>
                <w:bCs/>
                <w:sz w:val="22"/>
                <w:szCs w:val="22"/>
              </w:rPr>
            </w:pPr>
            <w:r w:rsidRPr="002536B2">
              <w:rPr>
                <w:rFonts w:ascii="Arial" w:hAnsi="Arial" w:cs="Arial"/>
                <w:bCs/>
                <w:sz w:val="22"/>
                <w:szCs w:val="22"/>
              </w:rPr>
              <w:t>1</w:t>
            </w:r>
          </w:p>
        </w:tc>
        <w:tc>
          <w:tcPr>
            <w:tcW w:w="8740" w:type="dxa"/>
          </w:tcPr>
          <w:p w14:paraId="0B91DB77" w14:textId="72FF851E" w:rsidR="00E7468B" w:rsidRPr="002536B2" w:rsidRDefault="00E7468B" w:rsidP="00E7468B">
            <w:pPr>
              <w:rPr>
                <w:rFonts w:ascii="Arial" w:hAnsi="Arial" w:cs="Arial"/>
                <w:bCs/>
                <w:sz w:val="22"/>
                <w:szCs w:val="22"/>
              </w:rPr>
            </w:pPr>
            <w:r w:rsidRPr="006F107E">
              <w:rPr>
                <w:rFonts w:ascii="Arial" w:hAnsi="Arial" w:cs="Arial"/>
                <w:sz w:val="22"/>
                <w:szCs w:val="22"/>
              </w:rPr>
              <w:t>disinfection or hygiene or infection control or infectious disease control or "equipment contamination" or hand washing or hand hygiene or microbes</w:t>
            </w:r>
          </w:p>
        </w:tc>
      </w:tr>
      <w:tr w:rsidR="00E7468B" w:rsidRPr="002536B2" w14:paraId="3D42DF4C" w14:textId="77777777" w:rsidTr="005C77F9">
        <w:tc>
          <w:tcPr>
            <w:tcW w:w="615" w:type="dxa"/>
          </w:tcPr>
          <w:p w14:paraId="27D11ED9" w14:textId="77777777" w:rsidR="00E7468B" w:rsidRPr="002536B2" w:rsidRDefault="00E7468B" w:rsidP="00E7468B">
            <w:pPr>
              <w:rPr>
                <w:rFonts w:ascii="Arial" w:hAnsi="Arial" w:cs="Arial"/>
                <w:bCs/>
                <w:sz w:val="22"/>
                <w:szCs w:val="22"/>
              </w:rPr>
            </w:pPr>
            <w:r w:rsidRPr="002536B2">
              <w:rPr>
                <w:rFonts w:ascii="Arial" w:hAnsi="Arial" w:cs="Arial"/>
                <w:bCs/>
                <w:sz w:val="22"/>
                <w:szCs w:val="22"/>
              </w:rPr>
              <w:t>2</w:t>
            </w:r>
          </w:p>
        </w:tc>
        <w:tc>
          <w:tcPr>
            <w:tcW w:w="8740" w:type="dxa"/>
          </w:tcPr>
          <w:p w14:paraId="1C993996" w14:textId="3308135A" w:rsidR="00E7468B" w:rsidRPr="002536B2" w:rsidRDefault="00E7468B" w:rsidP="00E7468B">
            <w:pPr>
              <w:rPr>
                <w:rFonts w:ascii="Arial" w:hAnsi="Arial" w:cs="Arial"/>
                <w:bCs/>
                <w:sz w:val="22"/>
                <w:szCs w:val="22"/>
              </w:rPr>
            </w:pPr>
            <w:r w:rsidRPr="00E7468B">
              <w:rPr>
                <w:rFonts w:ascii="Arial" w:hAnsi="Arial" w:cs="Arial"/>
                <w:sz w:val="22"/>
                <w:szCs w:val="22"/>
              </w:rPr>
              <w:t>chiropractic</w:t>
            </w:r>
          </w:p>
        </w:tc>
      </w:tr>
      <w:tr w:rsidR="002536B2" w:rsidRPr="002536B2" w14:paraId="5A9A1082" w14:textId="77777777" w:rsidTr="005C77F9">
        <w:tc>
          <w:tcPr>
            <w:tcW w:w="615" w:type="dxa"/>
          </w:tcPr>
          <w:p w14:paraId="497D3C1A" w14:textId="77777777" w:rsidR="002536B2" w:rsidRPr="002536B2" w:rsidRDefault="002536B2" w:rsidP="002536B2">
            <w:pPr>
              <w:rPr>
                <w:rFonts w:ascii="Arial" w:hAnsi="Arial" w:cs="Arial"/>
                <w:bCs/>
                <w:sz w:val="22"/>
                <w:szCs w:val="22"/>
              </w:rPr>
            </w:pPr>
            <w:r w:rsidRPr="002536B2">
              <w:rPr>
                <w:rFonts w:ascii="Arial" w:hAnsi="Arial" w:cs="Arial"/>
                <w:bCs/>
                <w:sz w:val="22"/>
                <w:szCs w:val="22"/>
              </w:rPr>
              <w:t>3</w:t>
            </w:r>
          </w:p>
        </w:tc>
        <w:tc>
          <w:tcPr>
            <w:tcW w:w="8740" w:type="dxa"/>
          </w:tcPr>
          <w:p w14:paraId="647794F3" w14:textId="77777777" w:rsidR="002536B2" w:rsidRPr="002536B2" w:rsidRDefault="002536B2" w:rsidP="002536B2">
            <w:pPr>
              <w:rPr>
                <w:rFonts w:ascii="Arial" w:hAnsi="Arial" w:cs="Arial"/>
                <w:bCs/>
                <w:sz w:val="22"/>
                <w:szCs w:val="22"/>
              </w:rPr>
            </w:pPr>
            <w:r w:rsidRPr="002536B2">
              <w:rPr>
                <w:rFonts w:ascii="Arial" w:hAnsi="Arial" w:cs="Arial"/>
                <w:bCs/>
                <w:sz w:val="22"/>
                <w:szCs w:val="22"/>
              </w:rPr>
              <w:t>S1 and S2</w:t>
            </w:r>
          </w:p>
        </w:tc>
      </w:tr>
      <w:tr w:rsidR="002536B2" w:rsidRPr="002536B2" w14:paraId="7BA3EAE5" w14:textId="77777777" w:rsidTr="005C77F9">
        <w:tc>
          <w:tcPr>
            <w:tcW w:w="615" w:type="dxa"/>
          </w:tcPr>
          <w:p w14:paraId="63782A15" w14:textId="77777777" w:rsidR="002536B2" w:rsidRPr="002536B2" w:rsidRDefault="002536B2" w:rsidP="002536B2">
            <w:pPr>
              <w:rPr>
                <w:rFonts w:ascii="Arial" w:hAnsi="Arial" w:cs="Arial"/>
                <w:bCs/>
                <w:sz w:val="22"/>
                <w:szCs w:val="22"/>
              </w:rPr>
            </w:pPr>
            <w:r w:rsidRPr="002536B2">
              <w:rPr>
                <w:rFonts w:ascii="Arial" w:hAnsi="Arial" w:cs="Arial"/>
                <w:bCs/>
                <w:sz w:val="22"/>
                <w:szCs w:val="22"/>
              </w:rPr>
              <w:t>4</w:t>
            </w:r>
          </w:p>
        </w:tc>
        <w:tc>
          <w:tcPr>
            <w:tcW w:w="8740" w:type="dxa"/>
          </w:tcPr>
          <w:p w14:paraId="13F36630" w14:textId="77777777" w:rsidR="002536B2" w:rsidRPr="002536B2" w:rsidRDefault="002536B2" w:rsidP="002536B2">
            <w:pPr>
              <w:rPr>
                <w:rFonts w:ascii="Arial" w:hAnsi="Arial" w:cs="Arial"/>
                <w:bCs/>
                <w:sz w:val="22"/>
                <w:szCs w:val="22"/>
              </w:rPr>
            </w:pPr>
            <w:r w:rsidRPr="002536B2">
              <w:rPr>
                <w:rFonts w:ascii="Arial" w:hAnsi="Arial" w:cs="Arial"/>
                <w:bCs/>
                <w:sz w:val="22"/>
                <w:szCs w:val="22"/>
              </w:rPr>
              <w:t>S3 limit 2018-2020</w:t>
            </w:r>
          </w:p>
        </w:tc>
      </w:tr>
    </w:tbl>
    <w:p w14:paraId="18DAFB73" w14:textId="12E76AA1" w:rsidR="00B84C0A" w:rsidRDefault="00B84C0A">
      <w:pPr>
        <w:rPr>
          <w:rFonts w:ascii="Arial" w:hAnsi="Arial" w:cs="Arial"/>
        </w:rPr>
      </w:pPr>
    </w:p>
    <w:p w14:paraId="52F2652C" w14:textId="77777777" w:rsidR="00B84C0A" w:rsidRDefault="00B84C0A">
      <w:pPr>
        <w:rPr>
          <w:rFonts w:ascii="Arial" w:hAnsi="Arial" w:cs="Arial"/>
        </w:rPr>
      </w:pPr>
      <w:r>
        <w:rPr>
          <w:rFonts w:ascii="Arial" w:hAnsi="Arial" w:cs="Arial"/>
        </w:rPr>
        <w:br w:type="page"/>
      </w:r>
    </w:p>
    <w:p w14:paraId="70B7D767" w14:textId="057416A9" w:rsidR="00CA58F2" w:rsidRDefault="00CA58F2">
      <w:pPr>
        <w:rPr>
          <w:rFonts w:ascii="Arial" w:hAnsi="Arial" w:cs="Arial"/>
          <w:b/>
          <w:bCs/>
        </w:rPr>
      </w:pPr>
      <w:r w:rsidRPr="00CA58F2">
        <w:rPr>
          <w:rFonts w:ascii="Arial" w:hAnsi="Arial" w:cs="Arial"/>
          <w:b/>
          <w:bCs/>
        </w:rPr>
        <w:t>Excluded studies—guidelines</w:t>
      </w:r>
    </w:p>
    <w:p w14:paraId="519613DB" w14:textId="77777777" w:rsidR="00CA58F2" w:rsidRPr="00CA58F2" w:rsidRDefault="00CA58F2">
      <w:pPr>
        <w:rPr>
          <w:rFonts w:ascii="Arial" w:hAnsi="Arial" w:cs="Arial"/>
        </w:rPr>
      </w:pPr>
    </w:p>
    <w:p w14:paraId="50B51F8B" w14:textId="77777777" w:rsidR="00CA58F2" w:rsidRPr="00456182" w:rsidRDefault="00CA58F2" w:rsidP="00456182">
      <w:pPr>
        <w:pStyle w:val="EndNoteBibliography"/>
        <w:ind w:left="720" w:hanging="720"/>
      </w:pPr>
      <w:r>
        <w:fldChar w:fldCharType="begin"/>
      </w:r>
      <w:r>
        <w:instrText xml:space="preserve"> ADDIN EN.REFLIST </w:instrText>
      </w:r>
      <w:r>
        <w:fldChar w:fldCharType="separate"/>
      </w:r>
      <w:r w:rsidRPr="00456182">
        <w:t>1.</w:t>
      </w:r>
      <w:r w:rsidRPr="00456182">
        <w:tab/>
        <w:t xml:space="preserve">Adams J, Wilson N, Hurkmans E, et al. 2019 EULAR points to consider for non-physician health professionals to prevent and manage fragility fractures in adults 50 years or older. </w:t>
      </w:r>
      <w:r w:rsidRPr="00456182">
        <w:rPr>
          <w:i/>
        </w:rPr>
        <w:t xml:space="preserve">Annals of the rheumatic diseases. </w:t>
      </w:r>
      <w:r w:rsidRPr="00456182">
        <w:t>2021;80(1):57-64.</w:t>
      </w:r>
    </w:p>
    <w:p w14:paraId="4F88020B" w14:textId="77777777" w:rsidR="00CA58F2" w:rsidRPr="00456182" w:rsidRDefault="00CA58F2" w:rsidP="00456182">
      <w:pPr>
        <w:pStyle w:val="EndNoteBibliography"/>
        <w:ind w:left="720" w:hanging="720"/>
      </w:pPr>
      <w:r w:rsidRPr="00456182">
        <w:t>2.</w:t>
      </w:r>
      <w:r w:rsidRPr="00456182">
        <w:tab/>
        <w:t xml:space="preserve">Alligier M, Barrès R, Blaak EE, et al. OBEDIS Core Variables Project: European Expert Guidelines on a Minimal Core Set of Variables to Include in Randomized, Controlled Clinical Trials of Obesity Interventions. </w:t>
      </w:r>
      <w:r w:rsidRPr="00456182">
        <w:rPr>
          <w:i/>
        </w:rPr>
        <w:t xml:space="preserve">Obesity facts. </w:t>
      </w:r>
      <w:r w:rsidRPr="00456182">
        <w:t>2020;13(1):1-28.</w:t>
      </w:r>
    </w:p>
    <w:p w14:paraId="2FC34513" w14:textId="77777777" w:rsidR="00CA58F2" w:rsidRPr="00456182" w:rsidRDefault="00CA58F2" w:rsidP="00456182">
      <w:pPr>
        <w:pStyle w:val="EndNoteBibliography"/>
        <w:ind w:left="720" w:hanging="720"/>
      </w:pPr>
      <w:r w:rsidRPr="00456182">
        <w:t>3.</w:t>
      </w:r>
      <w:r w:rsidRPr="00456182">
        <w:tab/>
        <w:t xml:space="preserve">Arnett DK, Blumenthal RS, Albert MA, et al. 2019 ACC/AHA Guideline on the Primary Prevention of Cardiovascular Disease: Executive Summary: A Report of the American College of Cardiology/American Heart Association Task Force on Clinical Practice Guidelines. </w:t>
      </w:r>
      <w:r w:rsidRPr="00456182">
        <w:rPr>
          <w:i/>
        </w:rPr>
        <w:t xml:space="preserve">J Am Coll Cardiol. </w:t>
      </w:r>
      <w:r w:rsidRPr="00456182">
        <w:t>2019;74(10):1376-1414.</w:t>
      </w:r>
    </w:p>
    <w:p w14:paraId="713DC503" w14:textId="77777777" w:rsidR="00CA58F2" w:rsidRPr="00456182" w:rsidRDefault="00CA58F2" w:rsidP="00456182">
      <w:pPr>
        <w:pStyle w:val="EndNoteBibliography"/>
        <w:ind w:left="720" w:hanging="720"/>
      </w:pPr>
      <w:r w:rsidRPr="00456182">
        <w:t>4.</w:t>
      </w:r>
      <w:r w:rsidRPr="00456182">
        <w:tab/>
        <w:t xml:space="preserve">Breda J, Jewell J, Keller A. The Importance of the World Health Organization Sugar Guidelines for Dental Health and Obesity Prevention. </w:t>
      </w:r>
      <w:r w:rsidRPr="00456182">
        <w:rPr>
          <w:i/>
        </w:rPr>
        <w:t xml:space="preserve">Caries research. </w:t>
      </w:r>
      <w:r w:rsidRPr="00456182">
        <w:t>2019;53(2):149-152.</w:t>
      </w:r>
    </w:p>
    <w:p w14:paraId="69BBFF7F" w14:textId="77777777" w:rsidR="00CA58F2" w:rsidRPr="00456182" w:rsidRDefault="00CA58F2" w:rsidP="00456182">
      <w:pPr>
        <w:pStyle w:val="EndNoteBibliography"/>
        <w:ind w:left="720" w:hanging="720"/>
      </w:pPr>
      <w:r w:rsidRPr="00456182">
        <w:t>5.</w:t>
      </w:r>
      <w:r w:rsidRPr="00456182">
        <w:tab/>
        <w:t xml:space="preserve">Buonomo OC, Materazzo M, Pellicciaro M, Caspi J, Piccione E, Vanni G. Tor Vergata University-Hospital in the Beginning of COVID-19-Era: Experience and Recommendation for Breast Cancer Patients. </w:t>
      </w:r>
      <w:r w:rsidRPr="00456182">
        <w:rPr>
          <w:i/>
        </w:rPr>
        <w:t xml:space="preserve">In vivo (Athens, Greece). </w:t>
      </w:r>
      <w:r w:rsidRPr="00456182">
        <w:t>2020;34(3 Suppl):1661-1665.</w:t>
      </w:r>
    </w:p>
    <w:p w14:paraId="6C458B44" w14:textId="77777777" w:rsidR="00CA58F2" w:rsidRPr="00456182" w:rsidRDefault="00CA58F2" w:rsidP="00456182">
      <w:pPr>
        <w:pStyle w:val="EndNoteBibliography"/>
        <w:ind w:left="720" w:hanging="720"/>
      </w:pPr>
      <w:r w:rsidRPr="00456182">
        <w:t>6.</w:t>
      </w:r>
      <w:r w:rsidRPr="00456182">
        <w:tab/>
        <w:t xml:space="preserve">Busetto L, Dicker D, Azran C, et al. Obesity Management Task Force of the European Association for the Study of Obesity Released "Practical Recommendations for the Post-Bariatric Surgery Medical Management". </w:t>
      </w:r>
      <w:r w:rsidRPr="00456182">
        <w:rPr>
          <w:i/>
        </w:rPr>
        <w:t xml:space="preserve">Obesity surgery. </w:t>
      </w:r>
      <w:r w:rsidRPr="00456182">
        <w:t>2018;28(7):2117-2121.</w:t>
      </w:r>
    </w:p>
    <w:p w14:paraId="42FCB1A1" w14:textId="77777777" w:rsidR="00CA58F2" w:rsidRPr="00456182" w:rsidRDefault="00CA58F2" w:rsidP="00456182">
      <w:pPr>
        <w:pStyle w:val="EndNoteBibliography"/>
        <w:ind w:left="720" w:hanging="720"/>
      </w:pPr>
      <w:r w:rsidRPr="00456182">
        <w:t>7.</w:t>
      </w:r>
      <w:r w:rsidRPr="00456182">
        <w:tab/>
        <w:t xml:space="preserve">Conte MS, Bradbury AW, Kolh P, et al. Global vascular guidelines on the management of chronic limb-threatening ischemia. </w:t>
      </w:r>
      <w:r w:rsidRPr="00456182">
        <w:rPr>
          <w:i/>
        </w:rPr>
        <w:t xml:space="preserve">Journal of vascular surgery. </w:t>
      </w:r>
      <w:r w:rsidRPr="00456182">
        <w:t>2019;69(6s):3S-125S.e140.</w:t>
      </w:r>
    </w:p>
    <w:p w14:paraId="73374620" w14:textId="77777777" w:rsidR="00CA58F2" w:rsidRPr="00456182" w:rsidRDefault="00CA58F2" w:rsidP="00456182">
      <w:pPr>
        <w:pStyle w:val="EndNoteBibliography"/>
        <w:ind w:left="720" w:hanging="720"/>
      </w:pPr>
      <w:r w:rsidRPr="00456182">
        <w:t>8.</w:t>
      </w:r>
      <w:r w:rsidRPr="00456182">
        <w:tab/>
        <w:t xml:space="preserve">Dent E, Morley JE, Cruz-Jentoft AJ, et al. Physical Frailty: ICFSR International Clinical Practice Guidelines for Identification and Management. </w:t>
      </w:r>
      <w:r w:rsidRPr="00456182">
        <w:rPr>
          <w:i/>
        </w:rPr>
        <w:t xml:space="preserve">The journal of nutrition, health &amp; aging. </w:t>
      </w:r>
      <w:r w:rsidRPr="00456182">
        <w:t>2019;23(9):771-787.</w:t>
      </w:r>
    </w:p>
    <w:p w14:paraId="2A8A3542" w14:textId="77777777" w:rsidR="00CA58F2" w:rsidRPr="00456182" w:rsidRDefault="00CA58F2" w:rsidP="00456182">
      <w:pPr>
        <w:pStyle w:val="EndNoteBibliography"/>
        <w:ind w:left="720" w:hanging="720"/>
      </w:pPr>
      <w:r w:rsidRPr="00456182">
        <w:t>9.</w:t>
      </w:r>
      <w:r w:rsidRPr="00456182">
        <w:tab/>
        <w:t xml:space="preserve">Dumonceau JM, Delhaye M, Tringali A, et al. Endoscopic treatment of chronic pancreatitis: European Society of Gastrointestinal Endoscopy (ESGE) Guideline - Updated August 2018. </w:t>
      </w:r>
      <w:r w:rsidRPr="00456182">
        <w:rPr>
          <w:i/>
        </w:rPr>
        <w:t xml:space="preserve">Endoscopy. </w:t>
      </w:r>
      <w:r w:rsidRPr="00456182">
        <w:t>2019;51(2):179-193.</w:t>
      </w:r>
    </w:p>
    <w:p w14:paraId="1329F3BB" w14:textId="77777777" w:rsidR="00CA58F2" w:rsidRPr="00456182" w:rsidRDefault="00CA58F2" w:rsidP="00456182">
      <w:pPr>
        <w:pStyle w:val="EndNoteBibliography"/>
        <w:ind w:left="720" w:hanging="720"/>
      </w:pPr>
      <w:r w:rsidRPr="00456182">
        <w:t>10.</w:t>
      </w:r>
      <w:r w:rsidRPr="00456182">
        <w:tab/>
        <w:t xml:space="preserve">Dyson PA, Twenefour D, Breen C, et al. Diabetes UK evidence-based nutrition guidelines for the prevention and management of diabetes. </w:t>
      </w:r>
      <w:r w:rsidRPr="00456182">
        <w:rPr>
          <w:i/>
        </w:rPr>
        <w:t xml:space="preserve">Diabetic medicine : a journal of the British Diabetic Association. </w:t>
      </w:r>
      <w:r w:rsidRPr="00456182">
        <w:t>2018;35(5):541-547.</w:t>
      </w:r>
    </w:p>
    <w:p w14:paraId="4B77FCBD" w14:textId="77777777" w:rsidR="00CA58F2" w:rsidRPr="00456182" w:rsidRDefault="00CA58F2" w:rsidP="00456182">
      <w:pPr>
        <w:pStyle w:val="EndNoteBibliography"/>
        <w:ind w:left="720" w:hanging="720"/>
      </w:pPr>
      <w:r w:rsidRPr="00456182">
        <w:t>11.</w:t>
      </w:r>
      <w:r w:rsidRPr="00456182">
        <w:tab/>
        <w:t xml:space="preserve">Evans ME, Twentyman E, Click ES, et al. Update: Interim Guidance for Health Care Professionals Evaluating and Caring for Patients with Suspected E-cigarette, or Vaping, Product Use-Associated Lung Injury and for Reducing the Risk for Rehospitalization and Death Following Hospital Discharge - United States, December 2019. </w:t>
      </w:r>
      <w:r w:rsidRPr="00456182">
        <w:rPr>
          <w:i/>
        </w:rPr>
        <w:t xml:space="preserve">MMWR Morbidity and mortality weekly report. </w:t>
      </w:r>
      <w:r w:rsidRPr="00456182">
        <w:t>2020;68(5152):1189-1194.</w:t>
      </w:r>
    </w:p>
    <w:p w14:paraId="5527B427" w14:textId="77777777" w:rsidR="00CA58F2" w:rsidRPr="00456182" w:rsidRDefault="00CA58F2" w:rsidP="00456182">
      <w:pPr>
        <w:pStyle w:val="EndNoteBibliography"/>
        <w:ind w:left="720" w:hanging="720"/>
      </w:pPr>
      <w:r w:rsidRPr="00456182">
        <w:t>12.</w:t>
      </w:r>
      <w:r w:rsidRPr="00456182">
        <w:tab/>
        <w:t xml:space="preserve">García Pastor A, López-Cancio Martínez E, Rodríguez-Yáñez M, et al. Recommendations of the Spanish Society of Neurology for the prevention of stroke. Interventions on lifestyle and air pollution. </w:t>
      </w:r>
      <w:r w:rsidRPr="00456182">
        <w:rPr>
          <w:i/>
        </w:rPr>
        <w:t xml:space="preserve">Neurologia (Barcelona, Spain). </w:t>
      </w:r>
      <w:r w:rsidRPr="00456182">
        <w:t>2020.</w:t>
      </w:r>
    </w:p>
    <w:p w14:paraId="6F371FAC" w14:textId="77777777" w:rsidR="00CA58F2" w:rsidRPr="00456182" w:rsidRDefault="00CA58F2" w:rsidP="00456182">
      <w:pPr>
        <w:pStyle w:val="EndNoteBibliography"/>
        <w:ind w:left="720" w:hanging="720"/>
      </w:pPr>
      <w:r w:rsidRPr="00456182">
        <w:t>13.</w:t>
      </w:r>
      <w:r w:rsidRPr="00456182">
        <w:tab/>
        <w:t xml:space="preserve">Gilchrist SC, Barac A, Ades PA, et al. Cardio-Oncology Rehabilitation to Manage Cardiovascular Outcomes in Cancer Patients and Survivors: A Scientific Statement From the American Heart Association. </w:t>
      </w:r>
      <w:r w:rsidRPr="00456182">
        <w:rPr>
          <w:i/>
        </w:rPr>
        <w:t xml:space="preserve">Circulation. </w:t>
      </w:r>
      <w:r w:rsidRPr="00456182">
        <w:t>2019;139(21):e997-e1012.</w:t>
      </w:r>
    </w:p>
    <w:p w14:paraId="30C6EBB7" w14:textId="77777777" w:rsidR="00CA58F2" w:rsidRPr="00456182" w:rsidRDefault="00CA58F2" w:rsidP="00456182">
      <w:pPr>
        <w:pStyle w:val="EndNoteBibliography"/>
        <w:ind w:left="720" w:hanging="720"/>
      </w:pPr>
      <w:r w:rsidRPr="00456182">
        <w:t>14.</w:t>
      </w:r>
      <w:r w:rsidRPr="00456182">
        <w:tab/>
        <w:t xml:space="preserve">Giusti EM, Spatola CA, Brunani A, et al. ISPRM/ESPRM guidelines on Physical and Rehabilitation Medicine professional practice for adults with obesity and related comorbidities. </w:t>
      </w:r>
      <w:r w:rsidRPr="00456182">
        <w:rPr>
          <w:i/>
        </w:rPr>
        <w:t xml:space="preserve">European journal of physical and rehabilitation medicine. </w:t>
      </w:r>
      <w:r w:rsidRPr="00456182">
        <w:t>2020;56(4):496-507.</w:t>
      </w:r>
    </w:p>
    <w:p w14:paraId="5A4DAA6A" w14:textId="77777777" w:rsidR="00CA58F2" w:rsidRPr="00456182" w:rsidRDefault="00CA58F2" w:rsidP="00456182">
      <w:pPr>
        <w:pStyle w:val="EndNoteBibliography"/>
        <w:ind w:left="720" w:hanging="720"/>
      </w:pPr>
      <w:r w:rsidRPr="00456182">
        <w:t>15.</w:t>
      </w:r>
      <w:r w:rsidRPr="00456182">
        <w:tab/>
        <w:t xml:space="preserve">Glahn KPE, Bendixen D, Girard T, et al. Availability of dantrolene for the management of malignant hyperthermia crises: European Malignant Hyperthermia Group guidelines. </w:t>
      </w:r>
      <w:r w:rsidRPr="00456182">
        <w:rPr>
          <w:i/>
        </w:rPr>
        <w:t xml:space="preserve">British journal of anaesthesia. </w:t>
      </w:r>
      <w:r w:rsidRPr="00456182">
        <w:t>2020;125(2):133-140.</w:t>
      </w:r>
    </w:p>
    <w:p w14:paraId="708F83AA" w14:textId="77777777" w:rsidR="00CA58F2" w:rsidRPr="00456182" w:rsidRDefault="00CA58F2" w:rsidP="00456182">
      <w:pPr>
        <w:pStyle w:val="EndNoteBibliography"/>
        <w:ind w:left="720" w:hanging="720"/>
      </w:pPr>
      <w:r w:rsidRPr="00456182">
        <w:t>16.</w:t>
      </w:r>
      <w:r w:rsidRPr="00456182">
        <w:tab/>
        <w:t xml:space="preserve">Grossmann M, Ramchand SK, Milat F, et al. Assessment and management of bone health in women with oestrogen receptor-positive breast cancer receiving endocrine therapy: position statement summary. </w:t>
      </w:r>
      <w:r w:rsidRPr="00456182">
        <w:rPr>
          <w:i/>
        </w:rPr>
        <w:t xml:space="preserve">The Medical journal of Australia. </w:t>
      </w:r>
      <w:r w:rsidRPr="00456182">
        <w:t>2019;211(5):224-229.</w:t>
      </w:r>
    </w:p>
    <w:p w14:paraId="4CBB04D2" w14:textId="77777777" w:rsidR="00CA58F2" w:rsidRPr="00456182" w:rsidRDefault="00CA58F2" w:rsidP="00456182">
      <w:pPr>
        <w:pStyle w:val="EndNoteBibliography"/>
        <w:ind w:left="720" w:hanging="720"/>
      </w:pPr>
      <w:r w:rsidRPr="00456182">
        <w:t>17.</w:t>
      </w:r>
      <w:r w:rsidRPr="00456182">
        <w:tab/>
        <w:t xml:space="preserve">Hamdy O, Ganda OP, Maryniuk M, Gabbay RA. CHAPTER 2. Clinical nutrition guideline for overweight and obese adults with type 2 diabetes (T2D) or prediabetes, or those at high risk for developing T2D. </w:t>
      </w:r>
      <w:r w:rsidRPr="00456182">
        <w:rPr>
          <w:i/>
        </w:rPr>
        <w:t xml:space="preserve">The American journal of managed care. </w:t>
      </w:r>
      <w:r w:rsidRPr="00456182">
        <w:t>2018;24(7 Spec No.):Sp226-sp231.</w:t>
      </w:r>
    </w:p>
    <w:p w14:paraId="3DB4D411" w14:textId="77777777" w:rsidR="00CA58F2" w:rsidRPr="00456182" w:rsidRDefault="00CA58F2" w:rsidP="00456182">
      <w:pPr>
        <w:pStyle w:val="EndNoteBibliography"/>
        <w:ind w:left="720" w:hanging="720"/>
      </w:pPr>
      <w:r w:rsidRPr="00456182">
        <w:t>18.</w:t>
      </w:r>
      <w:r w:rsidRPr="00456182">
        <w:tab/>
        <w:t xml:space="preserve">Hasse B, Hannan MM, Keller PM, et al. International Society of Cardiovascular Infectious Diseases Guidelines for the Diagnosis, Treatment and Prevention of Disseminated Mycobacterium chimaera Infection Following Cardiac Surgery with Cardiopulmonary Bypass. </w:t>
      </w:r>
      <w:r w:rsidRPr="00456182">
        <w:rPr>
          <w:i/>
        </w:rPr>
        <w:t xml:space="preserve">The Journal of hospital infection. </w:t>
      </w:r>
      <w:r w:rsidRPr="00456182">
        <w:t>2020;104(2):214-235.</w:t>
      </w:r>
    </w:p>
    <w:p w14:paraId="5D38599B" w14:textId="77777777" w:rsidR="00CA58F2" w:rsidRPr="00456182" w:rsidRDefault="00CA58F2" w:rsidP="00456182">
      <w:pPr>
        <w:pStyle w:val="EndNoteBibliography"/>
        <w:ind w:left="720" w:hanging="720"/>
      </w:pPr>
      <w:r w:rsidRPr="00456182">
        <w:t>19.</w:t>
      </w:r>
      <w:r w:rsidRPr="00456182">
        <w:tab/>
        <w:t xml:space="preserve">Henry BW, Ziegler J, Parrott JS, Handu D. Pediatric Weight Management Evidence-Based Practice Guidelines: Components and Contexts of Interventions. </w:t>
      </w:r>
      <w:r w:rsidRPr="00456182">
        <w:rPr>
          <w:i/>
        </w:rPr>
        <w:t xml:space="preserve">Journal of the Academy of Nutrition and Dietetics. </w:t>
      </w:r>
      <w:r w:rsidRPr="00456182">
        <w:t>2018;118(7):1301-1311.e1323.</w:t>
      </w:r>
    </w:p>
    <w:p w14:paraId="55D26972" w14:textId="77777777" w:rsidR="00CA58F2" w:rsidRPr="00456182" w:rsidRDefault="00CA58F2" w:rsidP="00456182">
      <w:pPr>
        <w:pStyle w:val="EndNoteBibliography"/>
        <w:ind w:left="720" w:hanging="720"/>
      </w:pPr>
      <w:r w:rsidRPr="00456182">
        <w:t>20.</w:t>
      </w:r>
      <w:r w:rsidRPr="00456182">
        <w:tab/>
        <w:t xml:space="preserve">Homer CS, Oats J, Middleton P, Ramson J, Diplock S. Updated clinical practice guidelines on pregnancy care. </w:t>
      </w:r>
      <w:r w:rsidRPr="00456182">
        <w:rPr>
          <w:i/>
        </w:rPr>
        <w:t xml:space="preserve">The Medical journal of Australia. </w:t>
      </w:r>
      <w:r w:rsidRPr="00456182">
        <w:t>2018;209(9):409-412.</w:t>
      </w:r>
    </w:p>
    <w:p w14:paraId="042427F7" w14:textId="77777777" w:rsidR="00CA58F2" w:rsidRPr="00456182" w:rsidRDefault="00CA58F2" w:rsidP="00456182">
      <w:pPr>
        <w:pStyle w:val="EndNoteBibliography"/>
        <w:ind w:left="720" w:hanging="720"/>
      </w:pPr>
      <w:r w:rsidRPr="00456182">
        <w:t>21.</w:t>
      </w:r>
      <w:r w:rsidRPr="00456182">
        <w:tab/>
        <w:t xml:space="preserve">Hudgel DW, Patel SR, Ahasic AM, et al. The Role of Weight Management in the Treatment of Adult Obstructive Sleep Apnea. An Official American Thoracic Society Clinical Practice Guideline. </w:t>
      </w:r>
      <w:r w:rsidRPr="00456182">
        <w:rPr>
          <w:i/>
        </w:rPr>
        <w:t xml:space="preserve">American journal of respiratory and critical care medicine. </w:t>
      </w:r>
      <w:r w:rsidRPr="00456182">
        <w:t>2018;198(6):e70-e87.</w:t>
      </w:r>
    </w:p>
    <w:p w14:paraId="7A1DD145" w14:textId="77777777" w:rsidR="00CA58F2" w:rsidRPr="00456182" w:rsidRDefault="00CA58F2" w:rsidP="00456182">
      <w:pPr>
        <w:pStyle w:val="EndNoteBibliography"/>
        <w:ind w:left="720" w:hanging="720"/>
      </w:pPr>
      <w:r w:rsidRPr="00456182">
        <w:t>22.</w:t>
      </w:r>
      <w:r w:rsidRPr="00456182">
        <w:tab/>
        <w:t xml:space="preserve">Jepsen S, Caton JG, Albandar JM, et al. Periodontal manifestations of systemic diseases and developmental and acquired conditions: Consensus report of workgroup 3 of the 2017 World Workshop on the Classification of Periodontal and Peri-Implant Diseases and Conditions. </w:t>
      </w:r>
      <w:r w:rsidRPr="00456182">
        <w:rPr>
          <w:i/>
        </w:rPr>
        <w:t xml:space="preserve">Journal of clinical periodontology. </w:t>
      </w:r>
      <w:r w:rsidRPr="00456182">
        <w:t>2018;45 Suppl 20:S219-s229.</w:t>
      </w:r>
    </w:p>
    <w:p w14:paraId="64F23A27" w14:textId="77777777" w:rsidR="00CA58F2" w:rsidRPr="00456182" w:rsidRDefault="00CA58F2" w:rsidP="00456182">
      <w:pPr>
        <w:pStyle w:val="EndNoteBibliography"/>
        <w:ind w:left="720" w:hanging="720"/>
      </w:pPr>
      <w:r w:rsidRPr="00456182">
        <w:t>23.</w:t>
      </w:r>
      <w:r w:rsidRPr="00456182">
        <w:tab/>
        <w:t xml:space="preserve">Jiménez-Ruiz CA, Chatkin JM, Morais A, et al. Consensus Document on Medical Faculty Education on the Treatment of Smoking. </w:t>
      </w:r>
      <w:r w:rsidRPr="00456182">
        <w:rPr>
          <w:i/>
        </w:rPr>
        <w:t xml:space="preserve">Archivos de bronconeumologia. </w:t>
      </w:r>
      <w:r w:rsidRPr="00456182">
        <w:t>2020;56(12):806-811.</w:t>
      </w:r>
    </w:p>
    <w:p w14:paraId="3BADCE33" w14:textId="77777777" w:rsidR="00CA58F2" w:rsidRPr="00456182" w:rsidRDefault="00CA58F2" w:rsidP="00456182">
      <w:pPr>
        <w:pStyle w:val="EndNoteBibliography"/>
        <w:ind w:left="720" w:hanging="720"/>
      </w:pPr>
      <w:r w:rsidRPr="00456182">
        <w:t>24.</w:t>
      </w:r>
      <w:r w:rsidRPr="00456182">
        <w:tab/>
        <w:t xml:space="preserve">Kastorini CM, Critselis E, Zota D, et al. National Dietary Guidelines of Greece for children and adolescents: a tool for promoting healthy eating habits. </w:t>
      </w:r>
      <w:r w:rsidRPr="00456182">
        <w:rPr>
          <w:i/>
        </w:rPr>
        <w:t xml:space="preserve">Public health nutrition. </w:t>
      </w:r>
      <w:r w:rsidRPr="00456182">
        <w:t>2019;22(14):2688-2699.</w:t>
      </w:r>
    </w:p>
    <w:p w14:paraId="15CC40D0" w14:textId="77777777" w:rsidR="00CA58F2" w:rsidRPr="00456182" w:rsidRDefault="00CA58F2" w:rsidP="00456182">
      <w:pPr>
        <w:pStyle w:val="EndNoteBibliography"/>
        <w:ind w:left="720" w:hanging="720"/>
      </w:pPr>
      <w:r w:rsidRPr="00456182">
        <w:t>25.</w:t>
      </w:r>
      <w:r w:rsidRPr="00456182">
        <w:tab/>
        <w:t xml:space="preserve">Kotsis V, Jordan J, Micic D, et al. Obesity and cardiovascular risk: a call for action from the European Society of Hypertension Working Group of Obesity, Diabetes and the High-risk Patient and European Association for the Study of Obesity: part A: mechanisms of obesity induced hypertension, diabetes and dyslipidemia and practice guidelines for treatment. </w:t>
      </w:r>
      <w:r w:rsidRPr="00456182">
        <w:rPr>
          <w:i/>
        </w:rPr>
        <w:t xml:space="preserve">Journal of hypertension. </w:t>
      </w:r>
      <w:r w:rsidRPr="00456182">
        <w:t>2018;36(7):1427-1440.</w:t>
      </w:r>
    </w:p>
    <w:p w14:paraId="57DF2D93" w14:textId="77777777" w:rsidR="00CA58F2" w:rsidRPr="00456182" w:rsidRDefault="00CA58F2" w:rsidP="00456182">
      <w:pPr>
        <w:pStyle w:val="EndNoteBibliography"/>
        <w:ind w:left="720" w:hanging="720"/>
      </w:pPr>
      <w:r w:rsidRPr="00456182">
        <w:t>26.</w:t>
      </w:r>
      <w:r w:rsidRPr="00456182">
        <w:tab/>
        <w:t xml:space="preserve">Krist AH, Davidson KW, Mangione CM, et al. Behavioral Counseling Interventions to Promote a Healthy Diet and Physical Activity for Cardiovascular Disease Prevention in Adults With Cardiovascular Risk Factors: US Preventive Services Task Force Recommendation Statement. </w:t>
      </w:r>
      <w:r w:rsidRPr="00456182">
        <w:rPr>
          <w:i/>
        </w:rPr>
        <w:t xml:space="preserve">Jama. </w:t>
      </w:r>
      <w:r w:rsidRPr="00456182">
        <w:t>2020;324(20):2069-2075.</w:t>
      </w:r>
    </w:p>
    <w:p w14:paraId="27E43B38" w14:textId="77777777" w:rsidR="00CA58F2" w:rsidRPr="00456182" w:rsidRDefault="00CA58F2" w:rsidP="00456182">
      <w:pPr>
        <w:pStyle w:val="EndNoteBibliography"/>
        <w:ind w:left="720" w:hanging="720"/>
      </w:pPr>
      <w:r w:rsidRPr="00456182">
        <w:t>27.</w:t>
      </w:r>
      <w:r w:rsidRPr="00456182">
        <w:tab/>
        <w:t xml:space="preserve">Kuzuya M, Aita K, Katayama Y, et al. The Japan Geriatrics Society consensus statement "recommendations for older persons to receive the best medical and long-term care during the COVID-19 outbreak-considering the timing of advance care planning implementation". </w:t>
      </w:r>
      <w:r w:rsidRPr="00456182">
        <w:rPr>
          <w:i/>
        </w:rPr>
        <w:t xml:space="preserve">Geriatrics &amp; gerontology international. </w:t>
      </w:r>
      <w:r w:rsidRPr="00456182">
        <w:t>2020;20(12):1112-1119.</w:t>
      </w:r>
    </w:p>
    <w:p w14:paraId="79C08C83" w14:textId="77777777" w:rsidR="00CA58F2" w:rsidRPr="00456182" w:rsidRDefault="00CA58F2" w:rsidP="00456182">
      <w:pPr>
        <w:pStyle w:val="EndNoteBibliography"/>
        <w:ind w:left="720" w:hanging="720"/>
      </w:pPr>
      <w:r w:rsidRPr="00456182">
        <w:t>28.</w:t>
      </w:r>
      <w:r w:rsidRPr="00456182">
        <w:tab/>
        <w:t xml:space="preserve">Liang JL, Tiwari T, Moro P, et al. Prevention of Pertussis, Tetanus, and Diphtheria with Vaccines in the United States: Recommendations of the Advisory Committee on Immunization Practices (ACIP). </w:t>
      </w:r>
      <w:r w:rsidRPr="00456182">
        <w:rPr>
          <w:i/>
        </w:rPr>
        <w:t xml:space="preserve">MMWR Recommendations and reports : Morbidity and mortality weekly report Recommendations and reports. </w:t>
      </w:r>
      <w:r w:rsidRPr="00456182">
        <w:t>2018;67(2):1-44.</w:t>
      </w:r>
    </w:p>
    <w:p w14:paraId="6ADB6E21" w14:textId="77777777" w:rsidR="00CA58F2" w:rsidRPr="00456182" w:rsidRDefault="00CA58F2" w:rsidP="00456182">
      <w:pPr>
        <w:pStyle w:val="EndNoteBibliography"/>
        <w:ind w:left="720" w:hanging="720"/>
      </w:pPr>
      <w:r w:rsidRPr="00456182">
        <w:t>29.</w:t>
      </w:r>
      <w:r w:rsidRPr="00456182">
        <w:tab/>
        <w:t xml:space="preserve">Marchisio P, Bortone B, Ciarcià M, et al. Updated Guidelines for the Management of Acute Otitis Media in Children by the Italian Society of Pediatrics: Prevention. </w:t>
      </w:r>
      <w:r w:rsidRPr="00456182">
        <w:rPr>
          <w:i/>
        </w:rPr>
        <w:t xml:space="preserve">The Pediatric infectious disease journal. </w:t>
      </w:r>
      <w:r w:rsidRPr="00456182">
        <w:t>2019;38(12S Suppl):S22-s36.</w:t>
      </w:r>
    </w:p>
    <w:p w14:paraId="7F1CE198" w14:textId="77777777" w:rsidR="00CA58F2" w:rsidRPr="00456182" w:rsidRDefault="00CA58F2" w:rsidP="00456182">
      <w:pPr>
        <w:pStyle w:val="EndNoteBibliography"/>
        <w:ind w:left="720" w:hanging="720"/>
      </w:pPr>
      <w:r w:rsidRPr="00456182">
        <w:t>30.</w:t>
      </w:r>
      <w:r w:rsidRPr="00456182">
        <w:tab/>
        <w:t xml:space="preserve">Mazzone PJ, Silvestri GA, Patel S, et al. Screening for Lung Cancer: CHEST Guideline and Expert Panel Report. </w:t>
      </w:r>
      <w:r w:rsidRPr="00456182">
        <w:rPr>
          <w:i/>
        </w:rPr>
        <w:t xml:space="preserve">Chest. </w:t>
      </w:r>
      <w:r w:rsidRPr="00456182">
        <w:t>2018;153(4):954-985.</w:t>
      </w:r>
    </w:p>
    <w:p w14:paraId="12077CEE" w14:textId="77777777" w:rsidR="00CA58F2" w:rsidRPr="00456182" w:rsidRDefault="00CA58F2" w:rsidP="00456182">
      <w:pPr>
        <w:pStyle w:val="EndNoteBibliography"/>
        <w:ind w:left="720" w:hanging="720"/>
      </w:pPr>
      <w:r w:rsidRPr="00456182">
        <w:t>31.</w:t>
      </w:r>
      <w:r w:rsidRPr="00456182">
        <w:tab/>
        <w:t xml:space="preserve">Moghetti P, Balducci S, Guidetti L, Mazzuca P, Rossi E, Schena F. Walking for subjects with type 2 diabetes: A systematic review and joint AMD/SID/SISMES evidence-based practical guideline. </w:t>
      </w:r>
      <w:r w:rsidRPr="00456182">
        <w:rPr>
          <w:i/>
        </w:rPr>
        <w:t xml:space="preserve">Nutrition, metabolism, and cardiovascular diseases : NMCD. </w:t>
      </w:r>
      <w:r w:rsidRPr="00456182">
        <w:t>2020;30(11):1882-1898.</w:t>
      </w:r>
    </w:p>
    <w:p w14:paraId="445081EA" w14:textId="77777777" w:rsidR="00CA58F2" w:rsidRPr="00456182" w:rsidRDefault="00CA58F2" w:rsidP="00456182">
      <w:pPr>
        <w:pStyle w:val="EndNoteBibliography"/>
        <w:ind w:left="720" w:hanging="720"/>
      </w:pPr>
      <w:r w:rsidRPr="00456182">
        <w:t>32.</w:t>
      </w:r>
      <w:r w:rsidRPr="00456182">
        <w:tab/>
        <w:t xml:space="preserve">Mottola MF, Davenport MH, Ruchat SM, et al. 2019 Canadian guideline for physical activity throughout pregnancy. </w:t>
      </w:r>
      <w:r w:rsidRPr="00456182">
        <w:rPr>
          <w:i/>
        </w:rPr>
        <w:t xml:space="preserve">British journal of sports medicine. </w:t>
      </w:r>
      <w:r w:rsidRPr="00456182">
        <w:t>2018;52(21):1339-1346.</w:t>
      </w:r>
    </w:p>
    <w:p w14:paraId="5F94C479" w14:textId="77777777" w:rsidR="00CA58F2" w:rsidRPr="00456182" w:rsidRDefault="00CA58F2" w:rsidP="00456182">
      <w:pPr>
        <w:pStyle w:val="EndNoteBibliography"/>
        <w:ind w:left="720" w:hanging="720"/>
      </w:pPr>
      <w:r w:rsidRPr="00456182">
        <w:t>33.</w:t>
      </w:r>
      <w:r w:rsidRPr="00456182">
        <w:tab/>
        <w:t xml:space="preserve">Nasi M, Patrizi G, Pizzi C, et al. The role of physical activity in individuals with cardiovascular risk factors: an opinion paper from Italian Society of Cardiology-Emilia Romagna-Marche and SIC-Sport. </w:t>
      </w:r>
      <w:r w:rsidRPr="00456182">
        <w:rPr>
          <w:i/>
        </w:rPr>
        <w:t xml:space="preserve">Journal of cardiovascular medicine (Hagerstown, Md). </w:t>
      </w:r>
      <w:r w:rsidRPr="00456182">
        <w:t>2019;20(10):631-639.</w:t>
      </w:r>
    </w:p>
    <w:p w14:paraId="69424752" w14:textId="77777777" w:rsidR="00CA58F2" w:rsidRPr="00456182" w:rsidRDefault="00CA58F2" w:rsidP="00456182">
      <w:pPr>
        <w:pStyle w:val="EndNoteBibliography"/>
        <w:ind w:left="720" w:hanging="720"/>
      </w:pPr>
      <w:r w:rsidRPr="00456182">
        <w:t>34.</w:t>
      </w:r>
      <w:r w:rsidRPr="00456182">
        <w:tab/>
        <w:t xml:space="preserve">Nerenberg KA, Zarnke KB, Leung AA, et al. Hypertension Canada's 2018 Guidelines for Diagnosis, Risk Assessment, Prevention, and Treatment of Hypertension in Adults and Children. </w:t>
      </w:r>
      <w:r w:rsidRPr="00456182">
        <w:rPr>
          <w:i/>
        </w:rPr>
        <w:t xml:space="preserve">The Canadian journal of cardiology. </w:t>
      </w:r>
      <w:r w:rsidRPr="00456182">
        <w:t>2018;34(5):506-525.</w:t>
      </w:r>
    </w:p>
    <w:p w14:paraId="2EB70E2D" w14:textId="77777777" w:rsidR="00CA58F2" w:rsidRPr="00456182" w:rsidRDefault="00CA58F2" w:rsidP="00456182">
      <w:pPr>
        <w:pStyle w:val="EndNoteBibliography"/>
        <w:ind w:left="720" w:hanging="720"/>
      </w:pPr>
      <w:r w:rsidRPr="00456182">
        <w:t>35.</w:t>
      </w:r>
      <w:r w:rsidRPr="00456182">
        <w:tab/>
        <w:t xml:space="preserve">Owens DK, Davidson KW, Krist AH, et al. Primary Care Interventions for Prevention and Cessation of Tobacco Use in Children and Adolescents: US Preventive Services Task Force Recommendation Statement. </w:t>
      </w:r>
      <w:r w:rsidRPr="00456182">
        <w:rPr>
          <w:i/>
        </w:rPr>
        <w:t xml:space="preserve">Jama. </w:t>
      </w:r>
      <w:r w:rsidRPr="00456182">
        <w:t>2020;323(16):1590-1598.</w:t>
      </w:r>
    </w:p>
    <w:p w14:paraId="3FA791B7" w14:textId="77777777" w:rsidR="00CA58F2" w:rsidRPr="00456182" w:rsidRDefault="00CA58F2" w:rsidP="00456182">
      <w:pPr>
        <w:pStyle w:val="EndNoteBibliography"/>
        <w:ind w:left="720" w:hanging="720"/>
      </w:pPr>
      <w:r w:rsidRPr="00456182">
        <w:t>36.</w:t>
      </w:r>
      <w:r w:rsidRPr="00456182">
        <w:tab/>
        <w:t xml:space="preserve">Précoma DB, Oliveira GMM, Simão AF, et al. Updated Cardiovascular Prevention Guideline of the Brazilian Society of Cardiology - 2019. </w:t>
      </w:r>
      <w:r w:rsidRPr="00456182">
        <w:rPr>
          <w:i/>
        </w:rPr>
        <w:t xml:space="preserve">Arquivos brasileiros de cardiologia. </w:t>
      </w:r>
      <w:r w:rsidRPr="00456182">
        <w:t>2019;113(4):787-891.</w:t>
      </w:r>
    </w:p>
    <w:p w14:paraId="1A8DEA41" w14:textId="77777777" w:rsidR="00CA58F2" w:rsidRPr="00456182" w:rsidRDefault="00CA58F2" w:rsidP="00456182">
      <w:pPr>
        <w:pStyle w:val="EndNoteBibliography"/>
        <w:ind w:left="720" w:hanging="720"/>
      </w:pPr>
      <w:r w:rsidRPr="00456182">
        <w:t>37.</w:t>
      </w:r>
      <w:r w:rsidRPr="00456182">
        <w:tab/>
        <w:t xml:space="preserve">Rabi DM, McBrien KA, Sapir-Pichhadze R, et al. Hypertension Canada's 2020 Comprehensive Guidelines for the Prevention, Diagnosis, Risk Assessment, and Treatment of Hypertension in Adults and Children. </w:t>
      </w:r>
      <w:r w:rsidRPr="00456182">
        <w:rPr>
          <w:i/>
        </w:rPr>
        <w:t xml:space="preserve">The Canadian journal of cardiology. </w:t>
      </w:r>
      <w:r w:rsidRPr="00456182">
        <w:t>2020;36(5):596-624.</w:t>
      </w:r>
    </w:p>
    <w:p w14:paraId="5160921C" w14:textId="77777777" w:rsidR="00CA58F2" w:rsidRPr="00456182" w:rsidRDefault="00CA58F2" w:rsidP="00456182">
      <w:pPr>
        <w:pStyle w:val="EndNoteBibliography"/>
        <w:ind w:left="720" w:hanging="720"/>
      </w:pPr>
      <w:r w:rsidRPr="00456182">
        <w:t>38.</w:t>
      </w:r>
      <w:r w:rsidRPr="00456182">
        <w:tab/>
        <w:t xml:space="preserve">Rhee EJ, Kim HC, Kim JH, et al. 2018 Guidelines for the management of dyslipidemia. </w:t>
      </w:r>
      <w:r w:rsidRPr="00456182">
        <w:rPr>
          <w:i/>
        </w:rPr>
        <w:t xml:space="preserve">The Korean journal of internal medicine. </w:t>
      </w:r>
      <w:r w:rsidRPr="00456182">
        <w:t>2019;34(4):723-771.</w:t>
      </w:r>
    </w:p>
    <w:p w14:paraId="00D2157E" w14:textId="77777777" w:rsidR="00CA58F2" w:rsidRPr="00456182" w:rsidRDefault="00CA58F2" w:rsidP="00456182">
      <w:pPr>
        <w:pStyle w:val="EndNoteBibliography"/>
        <w:ind w:left="720" w:hanging="720"/>
      </w:pPr>
      <w:r w:rsidRPr="00456182">
        <w:t>39.</w:t>
      </w:r>
      <w:r w:rsidRPr="00456182">
        <w:tab/>
        <w:t xml:space="preserve">Rivas E, Herndon DN, Cambiaso-Daniel J, et al. Quantification of an Exercise Rehabilitation Program for Severely Burned Children: The Standard of Care at Shriners Hospitals for Children®-Galveston. </w:t>
      </w:r>
      <w:r w:rsidRPr="00456182">
        <w:rPr>
          <w:i/>
        </w:rPr>
        <w:t xml:space="preserve">Journal of burn care &amp; research : official publication of the American Burn Association. </w:t>
      </w:r>
      <w:r w:rsidRPr="00456182">
        <w:t>2018;39(6):889-896.</w:t>
      </w:r>
    </w:p>
    <w:p w14:paraId="168F23AB" w14:textId="77777777" w:rsidR="00CA58F2" w:rsidRPr="00456182" w:rsidRDefault="00CA58F2" w:rsidP="00456182">
      <w:pPr>
        <w:pStyle w:val="EndNoteBibliography"/>
        <w:ind w:left="720" w:hanging="720"/>
      </w:pPr>
      <w:r w:rsidRPr="00456182">
        <w:t>40.</w:t>
      </w:r>
      <w:r w:rsidRPr="00456182">
        <w:tab/>
        <w:t xml:space="preserve">Rock CL, Thomson C, Gansler T, et al. American Cancer Society guideline for diet and physical activity for cancer prevention. </w:t>
      </w:r>
      <w:r w:rsidRPr="00456182">
        <w:rPr>
          <w:i/>
        </w:rPr>
        <w:t xml:space="preserve">CA: a cancer journal for clinicians. </w:t>
      </w:r>
      <w:r w:rsidRPr="00456182">
        <w:t>2020;70(4):245-271.</w:t>
      </w:r>
    </w:p>
    <w:p w14:paraId="0C582700" w14:textId="77777777" w:rsidR="00CA58F2" w:rsidRPr="00456182" w:rsidRDefault="00CA58F2" w:rsidP="00456182">
      <w:pPr>
        <w:pStyle w:val="EndNoteBibliography"/>
        <w:ind w:left="720" w:hanging="720"/>
      </w:pPr>
      <w:r w:rsidRPr="00456182">
        <w:t>41.</w:t>
      </w:r>
      <w:r w:rsidRPr="00456182">
        <w:tab/>
        <w:t xml:space="preserve">Roeland EJ, Bohlke K, Baracos VE, et al. Management of Cancer Cachexia: ASCO Guideline. </w:t>
      </w:r>
      <w:r w:rsidRPr="00456182">
        <w:rPr>
          <w:i/>
        </w:rPr>
        <w:t xml:space="preserve">Journal of clinical oncology : official journal of the American Society of Clinical Oncology. </w:t>
      </w:r>
      <w:r w:rsidRPr="00456182">
        <w:t>2020;38(21):2438-2453.</w:t>
      </w:r>
    </w:p>
    <w:p w14:paraId="2CDCDBBE" w14:textId="77777777" w:rsidR="00CA58F2" w:rsidRPr="00456182" w:rsidRDefault="00CA58F2" w:rsidP="00456182">
      <w:pPr>
        <w:pStyle w:val="EndNoteBibliography"/>
        <w:ind w:left="720" w:hanging="720"/>
      </w:pPr>
      <w:r w:rsidRPr="00456182">
        <w:t>42.</w:t>
      </w:r>
      <w:r w:rsidRPr="00456182">
        <w:tab/>
        <w:t xml:space="preserve">Schillie S, Vellozzi C, Reingold A, et al. Prevention of Hepatitis B Virus Infection in the United States: Recommendations of the Advisory Committee on Immunization Practices. </w:t>
      </w:r>
      <w:r w:rsidRPr="00456182">
        <w:rPr>
          <w:i/>
        </w:rPr>
        <w:t xml:space="preserve">MMWR Recommendations and reports : Morbidity and mortality weekly report Recommendations and reports. </w:t>
      </w:r>
      <w:r w:rsidRPr="00456182">
        <w:t>2018;67(1):1-31.</w:t>
      </w:r>
    </w:p>
    <w:p w14:paraId="2FE6D4B7" w14:textId="77777777" w:rsidR="00CA58F2" w:rsidRPr="00456182" w:rsidRDefault="00CA58F2" w:rsidP="00456182">
      <w:pPr>
        <w:pStyle w:val="EndNoteBibliography"/>
        <w:ind w:left="720" w:hanging="720"/>
      </w:pPr>
      <w:r w:rsidRPr="00456182">
        <w:t>43.</w:t>
      </w:r>
      <w:r w:rsidRPr="00456182">
        <w:tab/>
        <w:t>Serra-Majem L, Raposo A, Aranceta-Bartrina J, et al. Ibero</w:t>
      </w:r>
      <w:r w:rsidRPr="00456182">
        <w:rPr>
          <w:rFonts w:ascii="Cambria Math" w:hAnsi="Cambria Math" w:cs="Cambria Math"/>
        </w:rPr>
        <w:t>⁻</w:t>
      </w:r>
      <w:r w:rsidRPr="00456182">
        <w:t xml:space="preserve">American Consensus on Low- and No-Calorie Sweeteners: Safety, Nutritional Aspects and Benefits in Food and Beverages. </w:t>
      </w:r>
      <w:r w:rsidRPr="00456182">
        <w:rPr>
          <w:i/>
        </w:rPr>
        <w:t xml:space="preserve">Nutrients. </w:t>
      </w:r>
      <w:r w:rsidRPr="00456182">
        <w:t>2018;10(7).</w:t>
      </w:r>
    </w:p>
    <w:p w14:paraId="457B33A7" w14:textId="77777777" w:rsidR="00CA58F2" w:rsidRPr="00456182" w:rsidRDefault="00CA58F2" w:rsidP="00456182">
      <w:pPr>
        <w:pStyle w:val="EndNoteBibliography"/>
        <w:ind w:left="720" w:hanging="720"/>
      </w:pPr>
      <w:r w:rsidRPr="00456182">
        <w:t>44.</w:t>
      </w:r>
      <w:r w:rsidRPr="00456182">
        <w:tab/>
        <w:t xml:space="preserve">Singh JA, Guyatt G, Ogdie A, et al. Special Article: 2018 American College of Rheumatology/National Psoriasis Foundation Guideline for the Treatment of Psoriatic Arthritis. </w:t>
      </w:r>
      <w:r w:rsidRPr="00456182">
        <w:rPr>
          <w:i/>
        </w:rPr>
        <w:t xml:space="preserve">Arthritis &amp; rheumatology (Hoboken, NJ). </w:t>
      </w:r>
      <w:r w:rsidRPr="00456182">
        <w:t>2019;71(1):5-32.</w:t>
      </w:r>
    </w:p>
    <w:p w14:paraId="22797496" w14:textId="77777777" w:rsidR="00CA58F2" w:rsidRPr="00456182" w:rsidRDefault="00CA58F2" w:rsidP="00456182">
      <w:pPr>
        <w:pStyle w:val="EndNoteBibliography"/>
        <w:ind w:left="720" w:hanging="720"/>
      </w:pPr>
      <w:r w:rsidRPr="00456182">
        <w:t>45.</w:t>
      </w:r>
      <w:r w:rsidRPr="00456182">
        <w:tab/>
        <w:t xml:space="preserve">Smithson DS, Vause TDR, Cheung AP. No. 362-Ovulation Induction in Polycystic Ovary Syndrome. </w:t>
      </w:r>
      <w:r w:rsidRPr="00456182">
        <w:rPr>
          <w:i/>
        </w:rPr>
        <w:t xml:space="preserve">Journal of obstetrics and gynaecology Canada : JOGC = Journal d'obstetrique et gynecologie du Canada : JOGC. </w:t>
      </w:r>
      <w:r w:rsidRPr="00456182">
        <w:t>2018;40(7):978-987.</w:t>
      </w:r>
    </w:p>
    <w:p w14:paraId="287A514C" w14:textId="77777777" w:rsidR="00CA58F2" w:rsidRPr="00456182" w:rsidRDefault="00CA58F2" w:rsidP="00456182">
      <w:pPr>
        <w:pStyle w:val="EndNoteBibliography"/>
        <w:ind w:left="720" w:hanging="720"/>
      </w:pPr>
      <w:r w:rsidRPr="00456182">
        <w:t>46.</w:t>
      </w:r>
      <w:r w:rsidRPr="00456182">
        <w:tab/>
        <w:t xml:space="preserve">Tepper NK, Curtis KM, Cox S, Whiteman MK. Update to U.S. Medical Eligibility Criteria for Contraceptive Use, 2016: Updated Recommendations for the Use of Contraception Among Women at High Risk for HIV Infection. </w:t>
      </w:r>
      <w:r w:rsidRPr="00456182">
        <w:rPr>
          <w:i/>
        </w:rPr>
        <w:t xml:space="preserve">MMWR Morbidity and mortality weekly report. </w:t>
      </w:r>
      <w:r w:rsidRPr="00456182">
        <w:t>2020;69(14):405-410.</w:t>
      </w:r>
    </w:p>
    <w:p w14:paraId="778D89ED" w14:textId="77777777" w:rsidR="00CA58F2" w:rsidRPr="00456182" w:rsidRDefault="00CA58F2" w:rsidP="00456182">
      <w:pPr>
        <w:pStyle w:val="EndNoteBibliography"/>
        <w:ind w:left="720" w:hanging="720"/>
      </w:pPr>
      <w:r w:rsidRPr="00456182">
        <w:t>47.</w:t>
      </w:r>
      <w:r w:rsidRPr="00456182">
        <w:tab/>
        <w:t xml:space="preserve">Testino G, Bottaro LC, Patussi V, et al. Addiction disorders: a need for change. Proposal for a new management. Position paper of SIA, Italian Society on Alcohol. </w:t>
      </w:r>
      <w:r w:rsidRPr="00456182">
        <w:rPr>
          <w:i/>
        </w:rPr>
        <w:t xml:space="preserve">Minerva medica. </w:t>
      </w:r>
      <w:r w:rsidRPr="00456182">
        <w:t>2018;109(5):369-385.</w:t>
      </w:r>
    </w:p>
    <w:p w14:paraId="0BF14795" w14:textId="77777777" w:rsidR="00CA58F2" w:rsidRPr="00456182" w:rsidRDefault="00CA58F2" w:rsidP="00456182">
      <w:pPr>
        <w:pStyle w:val="EndNoteBibliography"/>
        <w:ind w:left="720" w:hanging="720"/>
      </w:pPr>
      <w:r w:rsidRPr="00456182">
        <w:t>48.</w:t>
      </w:r>
      <w:r w:rsidRPr="00456182">
        <w:tab/>
        <w:t xml:space="preserve">Tobe SW, Stone JA, Anderson T, et al. Canadian Cardiovascular Harmonized National Guidelines Endeavour (C-CHANGE) guideline for the prevention and management of cardiovascular disease in primary care: 2018 update. </w:t>
      </w:r>
      <w:r w:rsidRPr="00456182">
        <w:rPr>
          <w:i/>
        </w:rPr>
        <w:t xml:space="preserve">CMAJ : Canadian Medical Association journal = journal de l'Association medicale canadienne. </w:t>
      </w:r>
      <w:r w:rsidRPr="00456182">
        <w:t>2018;190(40):E1192-e1206.</w:t>
      </w:r>
    </w:p>
    <w:p w14:paraId="4253C39F" w14:textId="77777777" w:rsidR="00CA58F2" w:rsidRPr="00456182" w:rsidRDefault="00CA58F2" w:rsidP="00456182">
      <w:pPr>
        <w:pStyle w:val="EndNoteBibliography"/>
        <w:ind w:left="720" w:hanging="720"/>
      </w:pPr>
      <w:r w:rsidRPr="00456182">
        <w:t>49.</w:t>
      </w:r>
      <w:r w:rsidRPr="00456182">
        <w:tab/>
        <w:t>Tsutsui H, Isobe M, Ito H, et al. JCS 2017/JHFS 2017 Guideline on Diagnosis and Treatment of Acute and Chronic Heart Failure</w:t>
      </w:r>
      <w:r w:rsidRPr="00456182">
        <w:rPr>
          <w:rFonts w:ascii="MS Gothic" w:eastAsia="MS Gothic" w:hAnsi="MS Gothic" w:cs="MS Gothic" w:hint="eastAsia"/>
        </w:rPr>
        <w:t xml:space="preserve">　</w:t>
      </w:r>
      <w:r w:rsidRPr="00456182">
        <w:t xml:space="preserve">- Digest Version. </w:t>
      </w:r>
      <w:r w:rsidRPr="00456182">
        <w:rPr>
          <w:i/>
        </w:rPr>
        <w:t xml:space="preserve">Circulation journal : official journal of the Japanese Circulation Society. </w:t>
      </w:r>
      <w:r w:rsidRPr="00456182">
        <w:t>2019;83(10):2084-2184.</w:t>
      </w:r>
    </w:p>
    <w:p w14:paraId="22846FD9" w14:textId="77777777" w:rsidR="00CA58F2" w:rsidRPr="00456182" w:rsidRDefault="00CA58F2" w:rsidP="00456182">
      <w:pPr>
        <w:pStyle w:val="EndNoteBibliography"/>
        <w:ind w:left="720" w:hanging="720"/>
      </w:pPr>
      <w:r w:rsidRPr="00456182">
        <w:t>50.</w:t>
      </w:r>
      <w:r w:rsidRPr="00456182">
        <w:tab/>
        <w:t xml:space="preserve">Volkert D, Beck AM, Cederholm T, et al. ESPEN guideline on clinical nutrition and hydration in geriatrics. </w:t>
      </w:r>
      <w:r w:rsidRPr="00456182">
        <w:rPr>
          <w:i/>
        </w:rPr>
        <w:t xml:space="preserve">Clinical nutrition (Edinburgh, Scotland). </w:t>
      </w:r>
      <w:r w:rsidRPr="00456182">
        <w:t>2019;38(1):10-47.</w:t>
      </w:r>
    </w:p>
    <w:p w14:paraId="4DC39D71" w14:textId="77777777" w:rsidR="00CA58F2" w:rsidRPr="00456182" w:rsidRDefault="00CA58F2" w:rsidP="00456182">
      <w:pPr>
        <w:pStyle w:val="EndNoteBibliography"/>
        <w:ind w:left="720" w:hanging="720"/>
      </w:pPr>
      <w:r w:rsidRPr="00456182">
        <w:t>51.</w:t>
      </w:r>
      <w:r w:rsidRPr="00456182">
        <w:tab/>
        <w:t xml:space="preserve">Volpe M, Battistoni A, Gallo G, Rubattu S, Tocci G. Executive Summary of the 2018 Joint Consensus Document on Cardiovascular Disease Prevention in Italy. </w:t>
      </w:r>
      <w:r w:rsidRPr="00456182">
        <w:rPr>
          <w:i/>
        </w:rPr>
        <w:t xml:space="preserve">High blood pressure &amp; cardiovascular prevention : the official journal of the Italian Society of Hypertension. </w:t>
      </w:r>
      <w:r w:rsidRPr="00456182">
        <w:t>2018;25(3):327-341.</w:t>
      </w:r>
    </w:p>
    <w:p w14:paraId="647BC813" w14:textId="77777777" w:rsidR="00CA58F2" w:rsidRPr="00456182" w:rsidRDefault="00CA58F2" w:rsidP="00456182">
      <w:pPr>
        <w:pStyle w:val="EndNoteBibliography"/>
        <w:ind w:left="720" w:hanging="720"/>
      </w:pPr>
      <w:r w:rsidRPr="00456182">
        <w:t>52.</w:t>
      </w:r>
      <w:r w:rsidRPr="00456182">
        <w:tab/>
        <w:t xml:space="preserve">Wackernagel D, Gustafsson A, Edstedt Bonamy AK, et al. Swedish national guideline for prevention and treatment of neonatal hypoglycaemia in newborn infants with gestational age ≥35 weeks. </w:t>
      </w:r>
      <w:r w:rsidRPr="00456182">
        <w:rPr>
          <w:i/>
        </w:rPr>
        <w:t xml:space="preserve">Acta paediatrica (Oslo, Norway : 1992). </w:t>
      </w:r>
      <w:r w:rsidRPr="00456182">
        <w:t>2020;109(1):31-44.</w:t>
      </w:r>
    </w:p>
    <w:p w14:paraId="7BB75A70" w14:textId="77777777" w:rsidR="00CA58F2" w:rsidRPr="00456182" w:rsidRDefault="00CA58F2" w:rsidP="00456182">
      <w:pPr>
        <w:pStyle w:val="EndNoteBibliography"/>
        <w:ind w:left="720" w:hanging="720"/>
      </w:pPr>
      <w:r w:rsidRPr="00456182">
        <w:t>53.</w:t>
      </w:r>
      <w:r w:rsidRPr="00456182">
        <w:tab/>
        <w:t xml:space="preserve">Wein T, Lindsay MP, Côté R, et al. Canadian stroke best practice recommendations: Secondary prevention of stroke, sixth edition practice guidelines, update 2017. </w:t>
      </w:r>
      <w:r w:rsidRPr="00456182">
        <w:rPr>
          <w:i/>
        </w:rPr>
        <w:t xml:space="preserve">International journal of stroke : official journal of the International Stroke Society. </w:t>
      </w:r>
      <w:r w:rsidRPr="00456182">
        <w:t>2018;13(4):420-443.</w:t>
      </w:r>
    </w:p>
    <w:p w14:paraId="44157D36" w14:textId="77777777" w:rsidR="00CA58F2" w:rsidRPr="00456182" w:rsidRDefault="00CA58F2" w:rsidP="00456182">
      <w:pPr>
        <w:pStyle w:val="EndNoteBibliography"/>
        <w:ind w:left="720" w:hanging="720"/>
      </w:pPr>
      <w:r w:rsidRPr="00456182">
        <w:t>54.</w:t>
      </w:r>
      <w:r w:rsidRPr="00456182">
        <w:tab/>
        <w:t xml:space="preserve">Witt DM, Nieuwlaat R, Clark NP, et al. American Society of Hematology 2018 guidelines for management of venous thromboembolism: optimal management of anticoagulation therapy. </w:t>
      </w:r>
      <w:r w:rsidRPr="00456182">
        <w:rPr>
          <w:i/>
        </w:rPr>
        <w:t xml:space="preserve">Blood advances. </w:t>
      </w:r>
      <w:r w:rsidRPr="00456182">
        <w:t>2018;2(22):3257-3291.</w:t>
      </w:r>
    </w:p>
    <w:p w14:paraId="07716AA5" w14:textId="77777777" w:rsidR="00CA58F2" w:rsidRPr="00456182" w:rsidRDefault="00CA58F2" w:rsidP="00456182">
      <w:pPr>
        <w:pStyle w:val="EndNoteBibliography"/>
        <w:ind w:left="720" w:hanging="720"/>
      </w:pPr>
      <w:r w:rsidRPr="00456182">
        <w:t>55.</w:t>
      </w:r>
      <w:r w:rsidRPr="00456182">
        <w:tab/>
        <w:t xml:space="preserve">Wong J, An D, Urman RD, et al. Society for Perioperative Assessment and Quality Improvement (SPAQI) Consensus Statement on Perioperative Smoking Cessation. </w:t>
      </w:r>
      <w:r w:rsidRPr="00456182">
        <w:rPr>
          <w:i/>
        </w:rPr>
        <w:t xml:space="preserve">Anesthesia and analgesia. </w:t>
      </w:r>
      <w:r w:rsidRPr="00456182">
        <w:t>2020;131(3):955-968.</w:t>
      </w:r>
    </w:p>
    <w:p w14:paraId="2514F03E" w14:textId="77777777" w:rsidR="00CA58F2" w:rsidRPr="00456182" w:rsidRDefault="00CA58F2" w:rsidP="00456182">
      <w:pPr>
        <w:pStyle w:val="EndNoteBibliography"/>
        <w:ind w:left="720" w:hanging="720"/>
      </w:pPr>
      <w:r w:rsidRPr="00456182">
        <w:t>56.</w:t>
      </w:r>
      <w:r w:rsidRPr="00456182">
        <w:tab/>
        <w:t xml:space="preserve">Younossi ZM, Corey KE, Lim JK. AGA Clinical Practice Update on Lifestyle Modification Using Diet and Exercise to Achieve Weight Loss in the Management of Nonalcoholic Fatty Liver Disease: Expert Review. </w:t>
      </w:r>
      <w:r w:rsidRPr="00456182">
        <w:rPr>
          <w:i/>
        </w:rPr>
        <w:t xml:space="preserve">Gastroenterology. </w:t>
      </w:r>
      <w:r w:rsidRPr="00456182">
        <w:t>2021;160(3):912-918.</w:t>
      </w:r>
    </w:p>
    <w:p w14:paraId="2F514C1F" w14:textId="77777777" w:rsidR="00CA58F2" w:rsidRPr="00456182" w:rsidRDefault="00CA58F2">
      <w:r>
        <w:fldChar w:fldCharType="end"/>
      </w:r>
    </w:p>
    <w:p w14:paraId="03F5C3D3" w14:textId="54028D1E" w:rsidR="00B84C0A" w:rsidRPr="008C5902" w:rsidRDefault="00B84C0A"/>
    <w:p w14:paraId="29F0B89F" w14:textId="06661B58" w:rsidR="00B84C0A" w:rsidRDefault="00B84C0A">
      <w:pPr>
        <w:rPr>
          <w:rFonts w:ascii="Arial" w:hAnsi="Arial" w:cs="Arial"/>
        </w:rPr>
      </w:pPr>
      <w:r>
        <w:rPr>
          <w:rFonts w:ascii="Arial" w:hAnsi="Arial" w:cs="Arial"/>
        </w:rPr>
        <w:br w:type="page"/>
      </w:r>
    </w:p>
    <w:p w14:paraId="4C3F2329" w14:textId="0A0BC460" w:rsidR="00B84C0A" w:rsidRDefault="00B84C0A">
      <w:pPr>
        <w:rPr>
          <w:rFonts w:ascii="Arial" w:hAnsi="Arial" w:cs="Arial"/>
          <w:b/>
          <w:bCs/>
        </w:rPr>
      </w:pPr>
      <w:r w:rsidRPr="00B84C0A">
        <w:rPr>
          <w:rFonts w:ascii="Arial" w:hAnsi="Arial" w:cs="Arial"/>
          <w:b/>
          <w:bCs/>
        </w:rPr>
        <w:t xml:space="preserve">Excluded studies—systematic reviews </w:t>
      </w:r>
    </w:p>
    <w:p w14:paraId="00793DD8" w14:textId="77777777" w:rsidR="00B84C0A" w:rsidRPr="00B84C0A" w:rsidRDefault="00B84C0A">
      <w:pPr>
        <w:rPr>
          <w:rFonts w:ascii="Arial" w:hAnsi="Arial" w:cs="Arial"/>
          <w:b/>
          <w:bCs/>
        </w:rPr>
      </w:pPr>
    </w:p>
    <w:p w14:paraId="2D34B62F" w14:textId="77777777" w:rsidR="00B84C0A" w:rsidRPr="008C5902" w:rsidRDefault="00B84C0A" w:rsidP="008C5902">
      <w:pPr>
        <w:pStyle w:val="EndNoteBibliography"/>
        <w:ind w:left="720" w:hanging="720"/>
      </w:pPr>
      <w:r>
        <w:fldChar w:fldCharType="begin"/>
      </w:r>
      <w:r>
        <w:instrText xml:space="preserve"> ADDIN EN.REFLIST </w:instrText>
      </w:r>
      <w:r>
        <w:fldChar w:fldCharType="separate"/>
      </w:r>
      <w:r w:rsidRPr="008C5902">
        <w:t>1.</w:t>
      </w:r>
      <w:r w:rsidRPr="008C5902">
        <w:tab/>
        <w:t xml:space="preserve">Adiamah A, Skořepa P, Weimann A, Lobo DN. The Impact of Preoperative Immune Modulating Nutrition on Outcomes in Patients Undergoing Surgery for Gastrointestinal Cancer: A Systematic Review and Meta-analysis. </w:t>
      </w:r>
      <w:r w:rsidRPr="008C5902">
        <w:rPr>
          <w:i/>
        </w:rPr>
        <w:t xml:space="preserve">Ann Surg. </w:t>
      </w:r>
      <w:r w:rsidRPr="008C5902">
        <w:t>2019;270(2):247-256.</w:t>
      </w:r>
    </w:p>
    <w:p w14:paraId="5A3DFE31" w14:textId="77777777" w:rsidR="00B84C0A" w:rsidRPr="008C5902" w:rsidRDefault="00B84C0A" w:rsidP="008C5902">
      <w:pPr>
        <w:pStyle w:val="EndNoteBibliography"/>
        <w:ind w:left="720" w:hanging="720"/>
      </w:pPr>
      <w:r w:rsidRPr="008C5902">
        <w:t>2.</w:t>
      </w:r>
      <w:r w:rsidRPr="008C5902">
        <w:tab/>
        <w:t xml:space="preserve">Akhtar S, Das JK, Ismail T, Wahid M, Saeed W, Bhutta ZA. Nutritional perspectives for the prevention and mitigation of COVID-19. </w:t>
      </w:r>
      <w:r w:rsidRPr="008C5902">
        <w:rPr>
          <w:i/>
        </w:rPr>
        <w:t xml:space="preserve">Nutrition reviews. </w:t>
      </w:r>
      <w:r w:rsidRPr="008C5902">
        <w:t>2021;79(3):289-300.</w:t>
      </w:r>
    </w:p>
    <w:p w14:paraId="174D84D4" w14:textId="77777777" w:rsidR="00B84C0A" w:rsidRPr="008C5902" w:rsidRDefault="00B84C0A" w:rsidP="008C5902">
      <w:pPr>
        <w:pStyle w:val="EndNoteBibliography"/>
        <w:ind w:left="720" w:hanging="720"/>
      </w:pPr>
      <w:r w:rsidRPr="008C5902">
        <w:t>3.</w:t>
      </w:r>
      <w:r w:rsidRPr="008C5902">
        <w:tab/>
        <w:t xml:space="preserve">Alawna M, Amro M, Mohamed AA. Aerobic exercises recommendations and specifications for patients with COVID-19: a systematic review. </w:t>
      </w:r>
      <w:r w:rsidRPr="008C5902">
        <w:rPr>
          <w:i/>
        </w:rPr>
        <w:t xml:space="preserve">Eur Rev Med Pharmacol Sci. </w:t>
      </w:r>
      <w:r w:rsidRPr="008C5902">
        <w:t>2020;24(24):13049-13055.</w:t>
      </w:r>
    </w:p>
    <w:p w14:paraId="13ED897E" w14:textId="77777777" w:rsidR="00B84C0A" w:rsidRPr="008C5902" w:rsidRDefault="00B84C0A" w:rsidP="008C5902">
      <w:pPr>
        <w:pStyle w:val="EndNoteBibliography"/>
        <w:ind w:left="720" w:hanging="720"/>
      </w:pPr>
      <w:r w:rsidRPr="008C5902">
        <w:t>4.</w:t>
      </w:r>
      <w:r w:rsidRPr="008C5902">
        <w:tab/>
        <w:t xml:space="preserve">Ames PRJ, Merashli M, Bucci T, Nourooz-Zadeh J. Isoprostane in systemic sclerosis: A systematic review and meta-analysis. </w:t>
      </w:r>
      <w:r w:rsidRPr="008C5902">
        <w:rPr>
          <w:i/>
        </w:rPr>
        <w:t xml:space="preserve">Mod Rheumatol. </w:t>
      </w:r>
      <w:r w:rsidRPr="008C5902">
        <w:t>2019;29(3):470-475.</w:t>
      </w:r>
    </w:p>
    <w:p w14:paraId="1AC05D66" w14:textId="77777777" w:rsidR="00B84C0A" w:rsidRPr="008C5902" w:rsidRDefault="00B84C0A" w:rsidP="008C5902">
      <w:pPr>
        <w:pStyle w:val="EndNoteBibliography"/>
        <w:ind w:left="720" w:hanging="720"/>
      </w:pPr>
      <w:r w:rsidRPr="008C5902">
        <w:t>5.</w:t>
      </w:r>
      <w:r w:rsidRPr="008C5902">
        <w:tab/>
        <w:t xml:space="preserve">Arshi A, Fabricant PD, Go DE, Williams RJ, McAllister DR, Jones KJ. Can Biologic Augmentation Improve Clinical Outcomes Following Microfracture for Symptomatic Cartilage Defects of the Knee? A Systematic Review. </w:t>
      </w:r>
      <w:r w:rsidRPr="008C5902">
        <w:rPr>
          <w:i/>
        </w:rPr>
        <w:t xml:space="preserve">Cartilage. </w:t>
      </w:r>
      <w:r w:rsidRPr="008C5902">
        <w:t>2018;9(2):146-155.</w:t>
      </w:r>
    </w:p>
    <w:p w14:paraId="60CBD57D" w14:textId="77777777" w:rsidR="00B84C0A" w:rsidRPr="008C5902" w:rsidRDefault="00B84C0A" w:rsidP="008C5902">
      <w:pPr>
        <w:pStyle w:val="EndNoteBibliography"/>
        <w:ind w:left="720" w:hanging="720"/>
      </w:pPr>
      <w:r w:rsidRPr="008C5902">
        <w:t>6.</w:t>
      </w:r>
      <w:r w:rsidRPr="008C5902">
        <w:tab/>
        <w:t xml:space="preserve">Artemiadis AK, Zis P. Neuropathic Pain in Acute and Subacute Neuropathies: A Systematic Review. </w:t>
      </w:r>
      <w:r w:rsidRPr="008C5902">
        <w:rPr>
          <w:i/>
        </w:rPr>
        <w:t xml:space="preserve">Pain Physician. </w:t>
      </w:r>
      <w:r w:rsidRPr="008C5902">
        <w:t>2018;21(2):111-120.</w:t>
      </w:r>
    </w:p>
    <w:p w14:paraId="06CA0889" w14:textId="77777777" w:rsidR="00B84C0A" w:rsidRPr="008C5902" w:rsidRDefault="00B84C0A" w:rsidP="008C5902">
      <w:pPr>
        <w:pStyle w:val="EndNoteBibliography"/>
        <w:ind w:left="720" w:hanging="720"/>
      </w:pPr>
      <w:r w:rsidRPr="008C5902">
        <w:t>7.</w:t>
      </w:r>
      <w:r w:rsidRPr="008C5902">
        <w:tab/>
        <w:t xml:space="preserve">Asbjornsdottir B, Snorradottir H, Andresdottir E, et al. Zonulin-Dependent Intestinal Permeability in Children Diagnosed with Mental Disorders: A Systematic Review and Meta-Analysis. </w:t>
      </w:r>
      <w:r w:rsidRPr="008C5902">
        <w:rPr>
          <w:i/>
        </w:rPr>
        <w:t xml:space="preserve">Nutrients. </w:t>
      </w:r>
      <w:r w:rsidRPr="008C5902">
        <w:t>2020;12(7).</w:t>
      </w:r>
    </w:p>
    <w:p w14:paraId="0FB6275F" w14:textId="77777777" w:rsidR="00B84C0A" w:rsidRPr="008C5902" w:rsidRDefault="00B84C0A" w:rsidP="008C5902">
      <w:pPr>
        <w:pStyle w:val="EndNoteBibliography"/>
        <w:ind w:left="720" w:hanging="720"/>
      </w:pPr>
      <w:r w:rsidRPr="008C5902">
        <w:t>8.</w:t>
      </w:r>
      <w:r w:rsidRPr="008C5902">
        <w:tab/>
        <w:t xml:space="preserve">Aydindogan E, Penque D, Zoidakis J. Systematic review on recent potential biomarkers of chronic obstructive pulmonary disease. </w:t>
      </w:r>
      <w:r w:rsidRPr="008C5902">
        <w:rPr>
          <w:i/>
        </w:rPr>
        <w:t xml:space="preserve">Expert Rev Mol Diagn. </w:t>
      </w:r>
      <w:r w:rsidRPr="008C5902">
        <w:t>2019;19(1):37-45.</w:t>
      </w:r>
    </w:p>
    <w:p w14:paraId="5A111272" w14:textId="77777777" w:rsidR="00B84C0A" w:rsidRPr="008C5902" w:rsidRDefault="00B84C0A" w:rsidP="008C5902">
      <w:pPr>
        <w:pStyle w:val="EndNoteBibliography"/>
        <w:ind w:left="720" w:hanging="720"/>
      </w:pPr>
      <w:r w:rsidRPr="008C5902">
        <w:t>9.</w:t>
      </w:r>
      <w:r w:rsidRPr="008C5902">
        <w:tab/>
        <w:t xml:space="preserve">Bashashati M, Moossavi S, Cremon C, et al. Colonic immune cells in irritable bowel syndrome: A systematic review and meta-analysis. </w:t>
      </w:r>
      <w:r w:rsidRPr="008C5902">
        <w:rPr>
          <w:i/>
        </w:rPr>
        <w:t xml:space="preserve">Neurogastroenterol Motil. </w:t>
      </w:r>
      <w:r w:rsidRPr="008C5902">
        <w:t>2018;30(1).</w:t>
      </w:r>
    </w:p>
    <w:p w14:paraId="5BFD7C53" w14:textId="77777777" w:rsidR="00B84C0A" w:rsidRPr="008C5902" w:rsidRDefault="00B84C0A" w:rsidP="008C5902">
      <w:pPr>
        <w:pStyle w:val="EndNoteBibliography"/>
        <w:ind w:left="720" w:hanging="720"/>
      </w:pPr>
      <w:r w:rsidRPr="008C5902">
        <w:t>10.</w:t>
      </w:r>
      <w:r w:rsidRPr="008C5902">
        <w:tab/>
        <w:t xml:space="preserve">Blackshaw H, Springford LR, Zhang LY, Wang B, Venekamp RP, Schilder AG. Tonsillectomy versus tonsillotomy for obstructive sleep-disordered breathing in children. </w:t>
      </w:r>
      <w:r w:rsidRPr="008C5902">
        <w:rPr>
          <w:i/>
        </w:rPr>
        <w:t xml:space="preserve">Cochrane Database Syst Rev. </w:t>
      </w:r>
      <w:r w:rsidRPr="008C5902">
        <w:t>2020;4(4):Cd011365.</w:t>
      </w:r>
    </w:p>
    <w:p w14:paraId="26975EFC" w14:textId="77777777" w:rsidR="00B84C0A" w:rsidRPr="008C5902" w:rsidRDefault="00B84C0A" w:rsidP="008C5902">
      <w:pPr>
        <w:pStyle w:val="EndNoteBibliography"/>
        <w:ind w:left="720" w:hanging="720"/>
      </w:pPr>
      <w:r w:rsidRPr="008C5902">
        <w:t>11.</w:t>
      </w:r>
      <w:r w:rsidRPr="008C5902">
        <w:tab/>
        <w:t xml:space="preserve">Cabral-Santos C, de Lima Junior EA, Fernandes I, et al. Interleukin-10 responses from acute exercise in healthy subjects: A systematic review. </w:t>
      </w:r>
      <w:r w:rsidRPr="008C5902">
        <w:rPr>
          <w:i/>
        </w:rPr>
        <w:t xml:space="preserve">J Cell Physiol. </w:t>
      </w:r>
      <w:r w:rsidRPr="008C5902">
        <w:t>2019;234(7):9956-9965.</w:t>
      </w:r>
    </w:p>
    <w:p w14:paraId="1823B36E" w14:textId="77777777" w:rsidR="00B84C0A" w:rsidRPr="008C5902" w:rsidRDefault="00B84C0A" w:rsidP="008C5902">
      <w:pPr>
        <w:pStyle w:val="EndNoteBibliography"/>
        <w:ind w:left="720" w:hanging="720"/>
      </w:pPr>
      <w:r w:rsidRPr="008C5902">
        <w:t>12.</w:t>
      </w:r>
      <w:r w:rsidRPr="008C5902">
        <w:tab/>
        <w:t xml:space="preserve">Calero CDQ, Rincón EO, Marqueta PM. Probiotics, prebiotics and synbiotics: useful for athletes and active individuals? A systematic review. </w:t>
      </w:r>
      <w:r w:rsidRPr="008C5902">
        <w:rPr>
          <w:i/>
        </w:rPr>
        <w:t xml:space="preserve">Benef Microbes. </w:t>
      </w:r>
      <w:r w:rsidRPr="008C5902">
        <w:t>2020;11(2):135-149.</w:t>
      </w:r>
    </w:p>
    <w:p w14:paraId="2CA73A2F" w14:textId="77777777" w:rsidR="00B84C0A" w:rsidRPr="008C5902" w:rsidRDefault="00B84C0A" w:rsidP="008C5902">
      <w:pPr>
        <w:pStyle w:val="EndNoteBibliography"/>
        <w:ind w:left="720" w:hanging="720"/>
      </w:pPr>
      <w:r w:rsidRPr="008C5902">
        <w:t>13.</w:t>
      </w:r>
      <w:r w:rsidRPr="008C5902">
        <w:tab/>
        <w:t xml:space="preserve">Cannavò SP, Tonacci A, Bertino L, Casciaro M, Borgia F, Gangemi S. The role of oxidative stress in the biology of melanoma: A systematic review. </w:t>
      </w:r>
      <w:r w:rsidRPr="008C5902">
        <w:rPr>
          <w:i/>
        </w:rPr>
        <w:t xml:space="preserve">Pathol Res Pract. </w:t>
      </w:r>
      <w:r w:rsidRPr="008C5902">
        <w:t>2019;215(1):21-28.</w:t>
      </w:r>
    </w:p>
    <w:p w14:paraId="266FF1E5" w14:textId="77777777" w:rsidR="00B84C0A" w:rsidRPr="008C5902" w:rsidRDefault="00B84C0A" w:rsidP="008C5902">
      <w:pPr>
        <w:pStyle w:val="EndNoteBibliography"/>
        <w:ind w:left="720" w:hanging="720"/>
      </w:pPr>
      <w:r w:rsidRPr="008C5902">
        <w:t>14.</w:t>
      </w:r>
      <w:r w:rsidRPr="008C5902">
        <w:tab/>
        <w:t xml:space="preserve">Chaney C, Lopez M, Wiley KS, Meyer C, Valeggia C. Systematic Review of Chronic Discrimination and Changes in Biology During Pregnancy Among African American Women. </w:t>
      </w:r>
      <w:r w:rsidRPr="008C5902">
        <w:rPr>
          <w:i/>
        </w:rPr>
        <w:t xml:space="preserve">J Racial Ethn Health Disparities. </w:t>
      </w:r>
      <w:r w:rsidRPr="008C5902">
        <w:t>2019;6(6):1208-1217.</w:t>
      </w:r>
    </w:p>
    <w:p w14:paraId="2F9FA959" w14:textId="77777777" w:rsidR="00B84C0A" w:rsidRPr="008C5902" w:rsidRDefault="00B84C0A" w:rsidP="008C5902">
      <w:pPr>
        <w:pStyle w:val="EndNoteBibliography"/>
        <w:ind w:left="720" w:hanging="720"/>
      </w:pPr>
      <w:r w:rsidRPr="008C5902">
        <w:t>15.</w:t>
      </w:r>
      <w:r w:rsidRPr="008C5902">
        <w:tab/>
        <w:t xml:space="preserve">Chen Y, Wang Y, Shen J. Role of environmental factors in the pathogenesis of Crohn's disease: a critical review. </w:t>
      </w:r>
      <w:r w:rsidRPr="008C5902">
        <w:rPr>
          <w:i/>
        </w:rPr>
        <w:t xml:space="preserve">Int J Colorectal Dis. </w:t>
      </w:r>
      <w:r w:rsidRPr="008C5902">
        <w:t>2019;34(12):2023-2034.</w:t>
      </w:r>
    </w:p>
    <w:p w14:paraId="1B3075EE" w14:textId="77777777" w:rsidR="00B84C0A" w:rsidRPr="008C5902" w:rsidRDefault="00B84C0A" w:rsidP="008C5902">
      <w:pPr>
        <w:pStyle w:val="EndNoteBibliography"/>
        <w:ind w:left="720" w:hanging="720"/>
      </w:pPr>
      <w:r w:rsidRPr="008C5902">
        <w:t>16.</w:t>
      </w:r>
      <w:r w:rsidRPr="008C5902">
        <w:tab/>
        <w:t xml:space="preserve">Cheng J, Eskenazi B, Widjaja F, Cordero JF, Hendren RL. Improving autism perinatal risk factors: A systematic review. </w:t>
      </w:r>
      <w:r w:rsidRPr="008C5902">
        <w:rPr>
          <w:i/>
        </w:rPr>
        <w:t xml:space="preserve">Med Hypotheses. </w:t>
      </w:r>
      <w:r w:rsidRPr="008C5902">
        <w:t>2019;127:26-33.</w:t>
      </w:r>
    </w:p>
    <w:p w14:paraId="2D28E096" w14:textId="77777777" w:rsidR="00B84C0A" w:rsidRPr="008C5902" w:rsidRDefault="00B84C0A" w:rsidP="008C5902">
      <w:pPr>
        <w:pStyle w:val="EndNoteBibliography"/>
        <w:ind w:left="720" w:hanging="720"/>
      </w:pPr>
      <w:r w:rsidRPr="008C5902">
        <w:t>17.</w:t>
      </w:r>
      <w:r w:rsidRPr="008C5902">
        <w:tab/>
        <w:t xml:space="preserve">Chimenti MS, Perricone C, Conigliaro P, et al. Tackling the autoimmune side in Spondyloarthritis: A systematic review. </w:t>
      </w:r>
      <w:r w:rsidRPr="008C5902">
        <w:rPr>
          <w:i/>
        </w:rPr>
        <w:t xml:space="preserve">Autoimmun Rev. </w:t>
      </w:r>
      <w:r w:rsidRPr="008C5902">
        <w:t>2020;19(10):102648.</w:t>
      </w:r>
    </w:p>
    <w:p w14:paraId="143CAC04" w14:textId="77777777" w:rsidR="00B84C0A" w:rsidRPr="008C5902" w:rsidRDefault="00B84C0A" w:rsidP="008C5902">
      <w:pPr>
        <w:pStyle w:val="EndNoteBibliography"/>
        <w:ind w:left="720" w:hanging="720"/>
      </w:pPr>
      <w:r w:rsidRPr="008C5902">
        <w:t>18.</w:t>
      </w:r>
      <w:r w:rsidRPr="008C5902">
        <w:tab/>
        <w:t xml:space="preserve">Chinna Meyyappan A, Forth E, Wallace CJK, Milev R. Effect of fecal microbiota transplant on symptoms of psychiatric disorders: a systematic review. </w:t>
      </w:r>
      <w:r w:rsidRPr="008C5902">
        <w:rPr>
          <w:i/>
        </w:rPr>
        <w:t xml:space="preserve">BMC Psychiatry. </w:t>
      </w:r>
      <w:r w:rsidRPr="008C5902">
        <w:t>2020;20(1):299.</w:t>
      </w:r>
    </w:p>
    <w:p w14:paraId="769FE0E7" w14:textId="77777777" w:rsidR="00B84C0A" w:rsidRPr="008C5902" w:rsidRDefault="00B84C0A" w:rsidP="008C5902">
      <w:pPr>
        <w:pStyle w:val="EndNoteBibliography"/>
        <w:ind w:left="720" w:hanging="720"/>
      </w:pPr>
      <w:r w:rsidRPr="008C5902">
        <w:t>19.</w:t>
      </w:r>
      <w:r w:rsidRPr="008C5902">
        <w:tab/>
        <w:t xml:space="preserve">Chisari E, Rehak L, Khan WS, Maffulli N. Tendon healing in presence of chronic low-level inflammation: a systematic review. </w:t>
      </w:r>
      <w:r w:rsidRPr="008C5902">
        <w:rPr>
          <w:i/>
        </w:rPr>
        <w:t xml:space="preserve">Br Med Bull. </w:t>
      </w:r>
      <w:r w:rsidRPr="008C5902">
        <w:t>2019;132(1):97-116.</w:t>
      </w:r>
    </w:p>
    <w:p w14:paraId="6E83FABF" w14:textId="77777777" w:rsidR="00B84C0A" w:rsidRPr="008C5902" w:rsidRDefault="00B84C0A" w:rsidP="008C5902">
      <w:pPr>
        <w:pStyle w:val="EndNoteBibliography"/>
        <w:ind w:left="720" w:hanging="720"/>
      </w:pPr>
      <w:r w:rsidRPr="008C5902">
        <w:t>20.</w:t>
      </w:r>
      <w:r w:rsidRPr="008C5902">
        <w:tab/>
        <w:t xml:space="preserve">Comeche JM, Caballero P, Gutierrez-Hervas A, et al. Enteral Nutrition in Patients with Inflammatory Bowel Disease. Systematic Review, Meta-Analysis, and Meta-Regression. </w:t>
      </w:r>
      <w:r w:rsidRPr="008C5902">
        <w:rPr>
          <w:i/>
        </w:rPr>
        <w:t xml:space="preserve">Nutrients. </w:t>
      </w:r>
      <w:r w:rsidRPr="008C5902">
        <w:t>2019;11(11).</w:t>
      </w:r>
    </w:p>
    <w:p w14:paraId="583762E7" w14:textId="77777777" w:rsidR="00B84C0A" w:rsidRPr="008C5902" w:rsidRDefault="00B84C0A" w:rsidP="008C5902">
      <w:pPr>
        <w:pStyle w:val="EndNoteBibliography"/>
        <w:ind w:left="720" w:hanging="720"/>
      </w:pPr>
      <w:r w:rsidRPr="008C5902">
        <w:t>21.</w:t>
      </w:r>
      <w:r w:rsidRPr="008C5902">
        <w:tab/>
        <w:t xml:space="preserve">Comeche JM, Comino I, Altavilla C, Tuells J, Gutierrez-Hervas A, Caballero P. Parenteral Nutrition in Patients with Inflammatory Bowel Disease Systematic Review, Meta-Analysis and Meta-Regression. </w:t>
      </w:r>
      <w:r w:rsidRPr="008C5902">
        <w:rPr>
          <w:i/>
        </w:rPr>
        <w:t xml:space="preserve">Nutrients. </w:t>
      </w:r>
      <w:r w:rsidRPr="008C5902">
        <w:t>2019;11(12).</w:t>
      </w:r>
    </w:p>
    <w:p w14:paraId="5FDA18F3" w14:textId="77777777" w:rsidR="00B84C0A" w:rsidRPr="008C5902" w:rsidRDefault="00B84C0A" w:rsidP="008C5902">
      <w:pPr>
        <w:pStyle w:val="EndNoteBibliography"/>
        <w:ind w:left="720" w:hanging="720"/>
      </w:pPr>
      <w:r w:rsidRPr="008C5902">
        <w:t>22.</w:t>
      </w:r>
      <w:r w:rsidRPr="008C5902">
        <w:tab/>
        <w:t xml:space="preserve">Crooke SN, Ovsyannikova IG, Poland GA, Kennedy RB. Immunosenescence: A systems-level overview of immune cell biology and strategies for improving vaccine responses. </w:t>
      </w:r>
      <w:r w:rsidRPr="008C5902">
        <w:rPr>
          <w:i/>
        </w:rPr>
        <w:t xml:space="preserve">Exp Gerontol. </w:t>
      </w:r>
      <w:r w:rsidRPr="008C5902">
        <w:t>2019;124:110632.</w:t>
      </w:r>
    </w:p>
    <w:p w14:paraId="4CFC04BC" w14:textId="77777777" w:rsidR="00B84C0A" w:rsidRPr="008C5902" w:rsidRDefault="00B84C0A" w:rsidP="008C5902">
      <w:pPr>
        <w:pStyle w:val="EndNoteBibliography"/>
        <w:ind w:left="720" w:hanging="720"/>
      </w:pPr>
      <w:r w:rsidRPr="008C5902">
        <w:t>23.</w:t>
      </w:r>
      <w:r w:rsidRPr="008C5902">
        <w:tab/>
        <w:t xml:space="preserve">Cruz S, da Cruz SP, Ramalho A. Impact of Vitamin A Supplementation on Pregnant Women and on Women Who Have Just Given Birth: A Systematic Review. </w:t>
      </w:r>
      <w:r w:rsidRPr="008C5902">
        <w:rPr>
          <w:i/>
        </w:rPr>
        <w:t xml:space="preserve">J Am Coll Nutr. </w:t>
      </w:r>
      <w:r w:rsidRPr="008C5902">
        <w:t>2018;37(3):243-250.</w:t>
      </w:r>
    </w:p>
    <w:p w14:paraId="7B4E6DB2" w14:textId="77777777" w:rsidR="00B84C0A" w:rsidRPr="008C5902" w:rsidRDefault="00B84C0A" w:rsidP="008C5902">
      <w:pPr>
        <w:pStyle w:val="EndNoteBibliography"/>
        <w:ind w:left="720" w:hanging="720"/>
      </w:pPr>
      <w:r w:rsidRPr="008C5902">
        <w:t>24.</w:t>
      </w:r>
      <w:r w:rsidRPr="008C5902">
        <w:tab/>
        <w:t xml:space="preserve">Culvenor AG, Øiestad BE, Hart HF, Stefanik JJ, Guermazi A, Crossley KM. Prevalence of knee osteoarthritis features on magnetic resonance imaging in asymptomatic uninjured adults: a systematic review and meta-analysis. </w:t>
      </w:r>
      <w:r w:rsidRPr="008C5902">
        <w:rPr>
          <w:i/>
        </w:rPr>
        <w:t xml:space="preserve">Br J Sports Med. </w:t>
      </w:r>
      <w:r w:rsidRPr="008C5902">
        <w:t>2019;53(20):1268-1278.</w:t>
      </w:r>
    </w:p>
    <w:p w14:paraId="0AD337DC" w14:textId="77777777" w:rsidR="00B84C0A" w:rsidRPr="008C5902" w:rsidRDefault="00B84C0A" w:rsidP="008C5902">
      <w:pPr>
        <w:pStyle w:val="EndNoteBibliography"/>
        <w:ind w:left="720" w:hanging="720"/>
      </w:pPr>
      <w:r w:rsidRPr="008C5902">
        <w:t>25.</w:t>
      </w:r>
      <w:r w:rsidRPr="008C5902">
        <w:tab/>
        <w:t xml:space="preserve">Cupp MA, Cariolou M, Tzoulaki I, Aune D, Evangelou E, Berlanga-Taylor AJ. Neutrophil to lymphocyte ratio and cancer prognosis: an umbrella review of systematic reviews and meta-analyses of observational studies. </w:t>
      </w:r>
      <w:r w:rsidRPr="008C5902">
        <w:rPr>
          <w:i/>
        </w:rPr>
        <w:t xml:space="preserve">BMC Med. </w:t>
      </w:r>
      <w:r w:rsidRPr="008C5902">
        <w:t>2020;18(1):360.</w:t>
      </w:r>
    </w:p>
    <w:p w14:paraId="64129F81" w14:textId="77777777" w:rsidR="00B84C0A" w:rsidRPr="008C5902" w:rsidRDefault="00B84C0A" w:rsidP="008C5902">
      <w:pPr>
        <w:pStyle w:val="EndNoteBibliography"/>
        <w:ind w:left="720" w:hanging="720"/>
      </w:pPr>
      <w:r w:rsidRPr="008C5902">
        <w:t>26.</w:t>
      </w:r>
      <w:r w:rsidRPr="008C5902">
        <w:tab/>
        <w:t xml:space="preserve">Daskalakis D, Tsetsos N, Karagergou S, Goudakos J, Markou K, Karkos P. Intracapsular coblation tonsillectomy versus extracapsular coblation tonsillectomy: a systematic review and a meta-analysis. </w:t>
      </w:r>
      <w:r w:rsidRPr="008C5902">
        <w:rPr>
          <w:i/>
        </w:rPr>
        <w:t xml:space="preserve">Eur Arch Otorhinolaryngol. </w:t>
      </w:r>
      <w:r w:rsidRPr="008C5902">
        <w:t>2021;278(3):637-644.</w:t>
      </w:r>
    </w:p>
    <w:p w14:paraId="397DF4A0" w14:textId="77777777" w:rsidR="00B84C0A" w:rsidRPr="008C5902" w:rsidRDefault="00B84C0A" w:rsidP="008C5902">
      <w:pPr>
        <w:pStyle w:val="EndNoteBibliography"/>
        <w:ind w:left="720" w:hanging="720"/>
      </w:pPr>
      <w:r w:rsidRPr="008C5902">
        <w:t>27.</w:t>
      </w:r>
      <w:r w:rsidRPr="008C5902">
        <w:tab/>
        <w:t xml:space="preserve">de Frel DL, Atsma DE, Pijl H, et al. The Impact of Obesity and Lifestyle on the Immune System and Susceptibility to Infections Such as COVID-19. </w:t>
      </w:r>
      <w:r w:rsidRPr="008C5902">
        <w:rPr>
          <w:i/>
        </w:rPr>
        <w:t xml:space="preserve">Frontiers in nutrition. </w:t>
      </w:r>
      <w:r w:rsidRPr="008C5902">
        <w:t>2020;7:597600.</w:t>
      </w:r>
    </w:p>
    <w:p w14:paraId="301E7305" w14:textId="77777777" w:rsidR="00B84C0A" w:rsidRPr="008C5902" w:rsidRDefault="00B84C0A" w:rsidP="008C5902">
      <w:pPr>
        <w:pStyle w:val="EndNoteBibliography"/>
        <w:ind w:left="720" w:hanging="720"/>
      </w:pPr>
      <w:r w:rsidRPr="008C5902">
        <w:t>28.</w:t>
      </w:r>
      <w:r w:rsidRPr="008C5902">
        <w:tab/>
        <w:t xml:space="preserve">Debette S, Schilling S, Duperron MG, Larsson SC, Markus HS. Clinical Significance of Magnetic Resonance Imaging Markers of Vascular Brain Injury: A Systematic Review and Meta-analysis. </w:t>
      </w:r>
      <w:r w:rsidRPr="008C5902">
        <w:rPr>
          <w:i/>
        </w:rPr>
        <w:t xml:space="preserve">JAMA Neurol. </w:t>
      </w:r>
      <w:r w:rsidRPr="008C5902">
        <w:t>2019;76(1):81-94.</w:t>
      </w:r>
    </w:p>
    <w:p w14:paraId="1B2F58F1" w14:textId="77777777" w:rsidR="00B84C0A" w:rsidRPr="008C5902" w:rsidRDefault="00B84C0A" w:rsidP="008C5902">
      <w:pPr>
        <w:pStyle w:val="EndNoteBibliography"/>
        <w:ind w:left="720" w:hanging="720"/>
      </w:pPr>
      <w:r w:rsidRPr="008C5902">
        <w:t>29.</w:t>
      </w:r>
      <w:r w:rsidRPr="008C5902">
        <w:tab/>
        <w:t xml:space="preserve">Egan JT. Infection Control Practices and Methicillin-Resistant Staphylococcus aureus Skin Infections: A Survey of Students in US Chiropractic Programs. </w:t>
      </w:r>
      <w:r w:rsidRPr="008C5902">
        <w:rPr>
          <w:i/>
        </w:rPr>
        <w:t xml:space="preserve">J Chiropr Med. </w:t>
      </w:r>
      <w:r w:rsidRPr="008C5902">
        <w:t>2018;17(2):75-81.</w:t>
      </w:r>
    </w:p>
    <w:p w14:paraId="0273CC07" w14:textId="77777777" w:rsidR="00B84C0A" w:rsidRPr="008C5902" w:rsidRDefault="00B84C0A" w:rsidP="008C5902">
      <w:pPr>
        <w:pStyle w:val="EndNoteBibliography"/>
        <w:ind w:left="720" w:hanging="720"/>
      </w:pPr>
      <w:r w:rsidRPr="008C5902">
        <w:t>30.</w:t>
      </w:r>
      <w:r w:rsidRPr="008C5902">
        <w:tab/>
        <w:t xml:space="preserve">Estrella B, Naumova EN, Cepeda M, Voortman T, Katsikis PD, Drexhage HA. Effects of Air Pollution on Lung Innate Lymphoid Cells: Review of In Vitro and In Vivo Experimental Studies. </w:t>
      </w:r>
      <w:r w:rsidRPr="008C5902">
        <w:rPr>
          <w:i/>
        </w:rPr>
        <w:t xml:space="preserve">Int J Environ Res Public Health. </w:t>
      </w:r>
      <w:r w:rsidRPr="008C5902">
        <w:t>2019;16(13).</w:t>
      </w:r>
    </w:p>
    <w:p w14:paraId="2F66DE0B" w14:textId="77777777" w:rsidR="00B84C0A" w:rsidRPr="008C5902" w:rsidRDefault="00B84C0A" w:rsidP="008C5902">
      <w:pPr>
        <w:pStyle w:val="EndNoteBibliography"/>
        <w:ind w:left="720" w:hanging="720"/>
      </w:pPr>
      <w:r w:rsidRPr="008C5902">
        <w:t>31.</w:t>
      </w:r>
      <w:r w:rsidRPr="008C5902">
        <w:tab/>
        <w:t xml:space="preserve">Farkas N, Wong J, Monib S, Thomson S. A systematic review of chyle leaks and their management following axillary surgery. </w:t>
      </w:r>
      <w:r w:rsidRPr="008C5902">
        <w:rPr>
          <w:i/>
        </w:rPr>
        <w:t xml:space="preserve">Eur J Surg Oncol. </w:t>
      </w:r>
      <w:r w:rsidRPr="008C5902">
        <w:t>2020;46(6):931-942.</w:t>
      </w:r>
    </w:p>
    <w:p w14:paraId="18611A00" w14:textId="77777777" w:rsidR="00B84C0A" w:rsidRPr="008C5902" w:rsidRDefault="00B84C0A" w:rsidP="008C5902">
      <w:pPr>
        <w:pStyle w:val="EndNoteBibliography"/>
        <w:ind w:left="720" w:hanging="720"/>
      </w:pPr>
      <w:r w:rsidRPr="008C5902">
        <w:t>32.</w:t>
      </w:r>
      <w:r w:rsidRPr="008C5902">
        <w:tab/>
        <w:t xml:space="preserve">Feldman-Winter L, Kellams A, Peter-Wohl S, et al. Evidence-Based Updates on the First Week of Exclusive Breastfeeding Among Infants ≥35 Weeks. </w:t>
      </w:r>
      <w:r w:rsidRPr="008C5902">
        <w:rPr>
          <w:i/>
        </w:rPr>
        <w:t xml:space="preserve">Pediatrics. </w:t>
      </w:r>
      <w:r w:rsidRPr="008C5902">
        <w:t>2020;145(4).</w:t>
      </w:r>
    </w:p>
    <w:p w14:paraId="602F3FD9" w14:textId="77777777" w:rsidR="00B84C0A" w:rsidRPr="008C5902" w:rsidRDefault="00B84C0A" w:rsidP="008C5902">
      <w:pPr>
        <w:pStyle w:val="EndNoteBibliography"/>
        <w:ind w:left="720" w:hanging="720"/>
      </w:pPr>
      <w:r w:rsidRPr="008C5902">
        <w:t>33.</w:t>
      </w:r>
      <w:r w:rsidRPr="008C5902">
        <w:tab/>
        <w:t xml:space="preserve">Garcia-Larsen V, Ierodiakonou D, Jarrold K, et al. Diet during pregnancy and infancy and risk of allergic or autoimmune disease: A systematic review and meta-analysis. </w:t>
      </w:r>
      <w:r w:rsidRPr="008C5902">
        <w:rPr>
          <w:i/>
        </w:rPr>
        <w:t xml:space="preserve">PLoS Med. </w:t>
      </w:r>
      <w:r w:rsidRPr="008C5902">
        <w:t>2018;15(2):e1002507.</w:t>
      </w:r>
    </w:p>
    <w:p w14:paraId="0FB15D79" w14:textId="77777777" w:rsidR="00B84C0A" w:rsidRPr="008C5902" w:rsidRDefault="00B84C0A" w:rsidP="008C5902">
      <w:pPr>
        <w:pStyle w:val="EndNoteBibliography"/>
        <w:ind w:left="720" w:hanging="720"/>
      </w:pPr>
      <w:r w:rsidRPr="008C5902">
        <w:t>34.</w:t>
      </w:r>
      <w:r w:rsidRPr="008C5902">
        <w:tab/>
        <w:t xml:space="preserve">Ghahramani S, Tabrizi R, Lankarani KB, et al. Laboratory features of severe vs. non-severe COVID-19 patients in Asian populations: a systematic review and meta-analysis. </w:t>
      </w:r>
      <w:r w:rsidRPr="008C5902">
        <w:rPr>
          <w:i/>
        </w:rPr>
        <w:t xml:space="preserve">Eur J Med Res. </w:t>
      </w:r>
      <w:r w:rsidRPr="008C5902">
        <w:t>2020;25(1):30.</w:t>
      </w:r>
    </w:p>
    <w:p w14:paraId="225BA52E" w14:textId="77777777" w:rsidR="00B84C0A" w:rsidRPr="008C5902" w:rsidRDefault="00B84C0A" w:rsidP="008C5902">
      <w:pPr>
        <w:pStyle w:val="EndNoteBibliography"/>
        <w:ind w:left="720" w:hanging="720"/>
      </w:pPr>
      <w:r w:rsidRPr="008C5902">
        <w:t>35.</w:t>
      </w:r>
      <w:r w:rsidRPr="008C5902">
        <w:tab/>
        <w:t xml:space="preserve">Ghasemi Fard S, Wang F, Sinclair AJ, Elliott G, Turchini GM. How does high DHA fish oil affect health? A systematic review of evidence. </w:t>
      </w:r>
      <w:r w:rsidRPr="008C5902">
        <w:rPr>
          <w:i/>
        </w:rPr>
        <w:t xml:space="preserve">Crit Rev Food Sci Nutr. </w:t>
      </w:r>
      <w:r w:rsidRPr="008C5902">
        <w:t>2019;59(11):1684-1727.</w:t>
      </w:r>
    </w:p>
    <w:p w14:paraId="30DC8E5C" w14:textId="77777777" w:rsidR="00B84C0A" w:rsidRPr="008C5902" w:rsidRDefault="00B84C0A" w:rsidP="008C5902">
      <w:pPr>
        <w:pStyle w:val="EndNoteBibliography"/>
        <w:ind w:left="720" w:hanging="720"/>
      </w:pPr>
      <w:r w:rsidRPr="008C5902">
        <w:t>36.</w:t>
      </w:r>
      <w:r w:rsidRPr="008C5902">
        <w:tab/>
        <w:t xml:space="preserve">Githang'a D, Anzala O, Mutegi C, Agweyu A. The effects of exposures to mycotoxins on immunity in children: A systematic review. </w:t>
      </w:r>
      <w:r w:rsidRPr="008C5902">
        <w:rPr>
          <w:i/>
        </w:rPr>
        <w:t xml:space="preserve">Curr Probl Pediatr Adolesc Health Care. </w:t>
      </w:r>
      <w:r w:rsidRPr="008C5902">
        <w:t>2019;49(5):109-116.</w:t>
      </w:r>
    </w:p>
    <w:p w14:paraId="184E1F30" w14:textId="77777777" w:rsidR="00B84C0A" w:rsidRPr="008C5902" w:rsidRDefault="00B84C0A" w:rsidP="008C5902">
      <w:pPr>
        <w:pStyle w:val="EndNoteBibliography"/>
        <w:ind w:left="720" w:hanging="720"/>
      </w:pPr>
      <w:r w:rsidRPr="008C5902">
        <w:t>37.</w:t>
      </w:r>
      <w:r w:rsidRPr="008C5902">
        <w:tab/>
        <w:t xml:space="preserve">Główka N, Durkalec-Michalski K, Woźniewicz M. Immunological Outcomes of Bovine Colostrum Supplementation in Trained and Physically Active People: A Systematic Review and Meta-Analysis. </w:t>
      </w:r>
      <w:r w:rsidRPr="008C5902">
        <w:rPr>
          <w:i/>
        </w:rPr>
        <w:t xml:space="preserve">Nutrients. </w:t>
      </w:r>
      <w:r w:rsidRPr="008C5902">
        <w:t>2020;12(4).</w:t>
      </w:r>
    </w:p>
    <w:p w14:paraId="080F3E05" w14:textId="77777777" w:rsidR="00B84C0A" w:rsidRPr="008C5902" w:rsidRDefault="00B84C0A" w:rsidP="008C5902">
      <w:pPr>
        <w:pStyle w:val="EndNoteBibliography"/>
        <w:ind w:left="720" w:hanging="720"/>
      </w:pPr>
      <w:r w:rsidRPr="008C5902">
        <w:t>38.</w:t>
      </w:r>
      <w:r w:rsidRPr="008C5902">
        <w:tab/>
        <w:t xml:space="preserve">Greenham G, Buckley JD, Garrett J, Eston R, Norton K. Biomarkers of Physiological Responses to Periods of Intensified, Non-Resistance-Based Exercise Training in Well-Trained Male Athletes: A Systematic Review and Meta-Analysis. </w:t>
      </w:r>
      <w:r w:rsidRPr="008C5902">
        <w:rPr>
          <w:i/>
        </w:rPr>
        <w:t xml:space="preserve">Sports Med. </w:t>
      </w:r>
      <w:r w:rsidRPr="008C5902">
        <w:t>2018;48(11):2517-2548.</w:t>
      </w:r>
    </w:p>
    <w:p w14:paraId="4BCB0787" w14:textId="77777777" w:rsidR="00B84C0A" w:rsidRPr="008C5902" w:rsidRDefault="00B84C0A" w:rsidP="008C5902">
      <w:pPr>
        <w:pStyle w:val="EndNoteBibliography"/>
        <w:ind w:left="720" w:hanging="720"/>
      </w:pPr>
      <w:r w:rsidRPr="008C5902">
        <w:t>39.</w:t>
      </w:r>
      <w:r w:rsidRPr="008C5902">
        <w:tab/>
        <w:t xml:space="preserve">Guan H, Chen S, Huang Q. Effects of Enteral Immunonutrition in Patients Undergoing Pancreaticoduodenectomy: A Meta-Analysis of Randomized Controlled Trials. </w:t>
      </w:r>
      <w:r w:rsidRPr="008C5902">
        <w:rPr>
          <w:i/>
        </w:rPr>
        <w:t xml:space="preserve">Ann Nutr Metab. </w:t>
      </w:r>
      <w:r w:rsidRPr="008C5902">
        <w:t>2019;74(1):53-61.</w:t>
      </w:r>
    </w:p>
    <w:p w14:paraId="46ECAB59" w14:textId="77777777" w:rsidR="00B84C0A" w:rsidRPr="008C5902" w:rsidRDefault="00B84C0A" w:rsidP="008C5902">
      <w:pPr>
        <w:pStyle w:val="EndNoteBibliography"/>
        <w:ind w:left="720" w:hanging="720"/>
      </w:pPr>
      <w:r w:rsidRPr="008C5902">
        <w:t>40.</w:t>
      </w:r>
      <w:r w:rsidRPr="008C5902">
        <w:tab/>
        <w:t xml:space="preserve">Gudi SK, Tiwari KK. Preparedness and Lessons Learned from the Novel Coronavirus Disease. </w:t>
      </w:r>
      <w:r w:rsidRPr="008C5902">
        <w:rPr>
          <w:i/>
        </w:rPr>
        <w:t xml:space="preserve">Int J Occup Environ Med. </w:t>
      </w:r>
      <w:r w:rsidRPr="008C5902">
        <w:t>2020;11(2):108-112.</w:t>
      </w:r>
    </w:p>
    <w:p w14:paraId="00763EFE" w14:textId="77777777" w:rsidR="00B84C0A" w:rsidRPr="008C5902" w:rsidRDefault="00B84C0A" w:rsidP="008C5902">
      <w:pPr>
        <w:pStyle w:val="EndNoteBibliography"/>
        <w:ind w:left="720" w:hanging="720"/>
      </w:pPr>
      <w:r w:rsidRPr="008C5902">
        <w:t>41.</w:t>
      </w:r>
      <w:r w:rsidRPr="008C5902">
        <w:tab/>
        <w:t xml:space="preserve">Heckenberg RA, Eddy P, Kent S, Wright BJ. Do workplace-based mindfulness meditation programs improve physiological indices of stress? A systematic review and meta-analysis. </w:t>
      </w:r>
      <w:r w:rsidRPr="008C5902">
        <w:rPr>
          <w:i/>
        </w:rPr>
        <w:t xml:space="preserve">J Psychosom Res. </w:t>
      </w:r>
      <w:r w:rsidRPr="008C5902">
        <w:t>2018;114:62-71.</w:t>
      </w:r>
    </w:p>
    <w:p w14:paraId="535B3897" w14:textId="77777777" w:rsidR="00B84C0A" w:rsidRPr="008C5902" w:rsidRDefault="00B84C0A" w:rsidP="008C5902">
      <w:pPr>
        <w:pStyle w:val="EndNoteBibliography"/>
        <w:ind w:left="720" w:hanging="720"/>
      </w:pPr>
      <w:r w:rsidRPr="008C5902">
        <w:t>42.</w:t>
      </w:r>
      <w:r w:rsidRPr="008C5902">
        <w:tab/>
        <w:t xml:space="preserve">Heim C, Gocht A, Weyand M, Ensminger S. New Targets for the Prevention of Chronic Rejection after Thoracic Organ Transplantation. </w:t>
      </w:r>
      <w:r w:rsidRPr="008C5902">
        <w:rPr>
          <w:i/>
        </w:rPr>
        <w:t xml:space="preserve">Thorac Cardiovasc Surg. </w:t>
      </w:r>
      <w:r w:rsidRPr="008C5902">
        <w:t>2018;66(1):20-30.</w:t>
      </w:r>
    </w:p>
    <w:p w14:paraId="6D96DA09" w14:textId="77777777" w:rsidR="00B84C0A" w:rsidRPr="008C5902" w:rsidRDefault="00B84C0A" w:rsidP="008C5902">
      <w:pPr>
        <w:pStyle w:val="EndNoteBibliography"/>
        <w:ind w:left="720" w:hanging="720"/>
      </w:pPr>
      <w:r w:rsidRPr="008C5902">
        <w:t>43.</w:t>
      </w:r>
      <w:r w:rsidRPr="008C5902">
        <w:tab/>
        <w:t xml:space="preserve">Imani MM, Sadeghi M, Khazaie H, Emami M, Sadeghi Bahmani D, Brand S. Evaluation of Serum and Plasma Interleukin-6 Levels in Obstructive Sleep Apnea Syndrome: A Meta-Analysis and Meta-Regression. </w:t>
      </w:r>
      <w:r w:rsidRPr="008C5902">
        <w:rPr>
          <w:i/>
        </w:rPr>
        <w:t xml:space="preserve">Front Immunol. </w:t>
      </w:r>
      <w:r w:rsidRPr="008C5902">
        <w:t>2020;11:1343.</w:t>
      </w:r>
    </w:p>
    <w:p w14:paraId="4F378720" w14:textId="77777777" w:rsidR="00B84C0A" w:rsidRPr="008C5902" w:rsidRDefault="00B84C0A" w:rsidP="008C5902">
      <w:pPr>
        <w:pStyle w:val="EndNoteBibliography"/>
        <w:ind w:left="720" w:hanging="720"/>
      </w:pPr>
      <w:r w:rsidRPr="008C5902">
        <w:t>44.</w:t>
      </w:r>
      <w:r w:rsidRPr="008C5902">
        <w:tab/>
        <w:t xml:space="preserve">Ingegnoli F, Schioppo T, Allanore Y, et al. Practical suggestions on intravenous iloprost in Raynaud's phenomenon and digital ulcer secondary to systemic sclerosis: Systematic literature review and expert consensus. </w:t>
      </w:r>
      <w:r w:rsidRPr="008C5902">
        <w:rPr>
          <w:i/>
        </w:rPr>
        <w:t xml:space="preserve">Semin Arthritis Rheum. </w:t>
      </w:r>
      <w:r w:rsidRPr="008C5902">
        <w:t>2019;48(4):686-693.</w:t>
      </w:r>
    </w:p>
    <w:p w14:paraId="2047BA35" w14:textId="77777777" w:rsidR="00B84C0A" w:rsidRPr="008C5902" w:rsidRDefault="00B84C0A" w:rsidP="008C5902">
      <w:pPr>
        <w:pStyle w:val="EndNoteBibliography"/>
        <w:ind w:left="720" w:hanging="720"/>
      </w:pPr>
      <w:r w:rsidRPr="008C5902">
        <w:t>45.</w:t>
      </w:r>
      <w:r w:rsidRPr="008C5902">
        <w:tab/>
        <w:t xml:space="preserve">Islam MT, Ali ES, Uddin SJ, et al. Andrographolide, a diterpene lactone from Andrographis paniculata and its therapeutic promises in cancer. </w:t>
      </w:r>
      <w:r w:rsidRPr="008C5902">
        <w:rPr>
          <w:i/>
        </w:rPr>
        <w:t xml:space="preserve">Cancer Lett. </w:t>
      </w:r>
      <w:r w:rsidRPr="008C5902">
        <w:t>2018;420:129-145.</w:t>
      </w:r>
    </w:p>
    <w:p w14:paraId="7ABF4616" w14:textId="77777777" w:rsidR="00B84C0A" w:rsidRPr="008C5902" w:rsidRDefault="00B84C0A" w:rsidP="008C5902">
      <w:pPr>
        <w:pStyle w:val="EndNoteBibliography"/>
        <w:ind w:left="720" w:hanging="720"/>
      </w:pPr>
      <w:r w:rsidRPr="008C5902">
        <w:t>46.</w:t>
      </w:r>
      <w:r w:rsidRPr="008C5902">
        <w:tab/>
        <w:t xml:space="preserve">Jamshidi N, Mantri N, Cohen MM. Acute effects of dietary plant nutrients on transcriptome profiles: evidence from human studies. </w:t>
      </w:r>
      <w:r w:rsidRPr="008C5902">
        <w:rPr>
          <w:i/>
        </w:rPr>
        <w:t xml:space="preserve">Crit Rev Food Sci Nutr. </w:t>
      </w:r>
      <w:r w:rsidRPr="008C5902">
        <w:t>2020;60(11):1869-1880.</w:t>
      </w:r>
    </w:p>
    <w:p w14:paraId="16F0BB19" w14:textId="77777777" w:rsidR="00B84C0A" w:rsidRPr="008C5902" w:rsidRDefault="00B84C0A" w:rsidP="008C5902">
      <w:pPr>
        <w:pStyle w:val="EndNoteBibliography"/>
        <w:ind w:left="720" w:hanging="720"/>
      </w:pPr>
      <w:r w:rsidRPr="008C5902">
        <w:t>47.</w:t>
      </w:r>
      <w:r w:rsidRPr="008C5902">
        <w:tab/>
        <w:t xml:space="preserve">Karimi A, Ghodsi R, Kooshki F, Karimi M, Asghariazar V, Tarighat-Esfanjani A. Therapeutic effects of curcumin on sepsis and mechanisms of action: A systematic review of preclinical studies. </w:t>
      </w:r>
      <w:r w:rsidRPr="008C5902">
        <w:rPr>
          <w:i/>
        </w:rPr>
        <w:t xml:space="preserve">Phytother Res. </w:t>
      </w:r>
      <w:r w:rsidRPr="008C5902">
        <w:t>2019;33(11):2798-2820.</w:t>
      </w:r>
    </w:p>
    <w:p w14:paraId="2C46605C" w14:textId="77777777" w:rsidR="00B84C0A" w:rsidRPr="008C5902" w:rsidRDefault="00B84C0A" w:rsidP="008C5902">
      <w:pPr>
        <w:pStyle w:val="EndNoteBibliography"/>
        <w:ind w:left="720" w:hanging="720"/>
      </w:pPr>
      <w:r w:rsidRPr="008C5902">
        <w:t>48.</w:t>
      </w:r>
      <w:r w:rsidRPr="008C5902">
        <w:tab/>
        <w:t xml:space="preserve">Konstantinou GN, Konstantinou GN. Psychological Stress and Chronic Urticaria: A Neuro-immuno-cutaneous Crosstalk. A Systematic Review of the Existing Evidence. </w:t>
      </w:r>
      <w:r w:rsidRPr="008C5902">
        <w:rPr>
          <w:i/>
        </w:rPr>
        <w:t xml:space="preserve">Clin Ther. </w:t>
      </w:r>
      <w:r w:rsidRPr="008C5902">
        <w:t>2020;42(5):771-782.</w:t>
      </w:r>
    </w:p>
    <w:p w14:paraId="22EB7EB1" w14:textId="77777777" w:rsidR="00B84C0A" w:rsidRPr="008C5902" w:rsidRDefault="00B84C0A" w:rsidP="008C5902">
      <w:pPr>
        <w:pStyle w:val="EndNoteBibliography"/>
        <w:ind w:left="720" w:hanging="720"/>
      </w:pPr>
      <w:r w:rsidRPr="008C5902">
        <w:t>49.</w:t>
      </w:r>
      <w:r w:rsidRPr="008C5902">
        <w:tab/>
        <w:t xml:space="preserve">Krajewska Wojciechowska J, Krajewski W, Zatoński T. The Association Between ENT Diseases and Obesity in Pediatric Population: A Systemic Review of Current Knowledge. </w:t>
      </w:r>
      <w:r w:rsidRPr="008C5902">
        <w:rPr>
          <w:i/>
        </w:rPr>
        <w:t xml:space="preserve">Ear Nose Throat J. </w:t>
      </w:r>
      <w:r w:rsidRPr="008C5902">
        <w:t>2019;98(5):E32-e43.</w:t>
      </w:r>
    </w:p>
    <w:p w14:paraId="3F681AE7" w14:textId="77777777" w:rsidR="00B84C0A" w:rsidRPr="008C5902" w:rsidRDefault="00B84C0A" w:rsidP="008C5902">
      <w:pPr>
        <w:pStyle w:val="EndNoteBibliography"/>
        <w:ind w:left="720" w:hanging="720"/>
      </w:pPr>
      <w:r w:rsidRPr="008C5902">
        <w:t>50.</w:t>
      </w:r>
      <w:r w:rsidRPr="008C5902">
        <w:tab/>
        <w:t xml:space="preserve">Krammer L, Sowa AS, Lorentz A. Mast Cells in Irritable Bowel Syndrome: A Systematic Review. </w:t>
      </w:r>
      <w:r w:rsidRPr="008C5902">
        <w:rPr>
          <w:i/>
        </w:rPr>
        <w:t xml:space="preserve">J Gastrointestin Liver Dis. </w:t>
      </w:r>
      <w:r w:rsidRPr="008C5902">
        <w:t>2019;28(4):463-472.</w:t>
      </w:r>
    </w:p>
    <w:p w14:paraId="17DCD827" w14:textId="77777777" w:rsidR="00B84C0A" w:rsidRPr="008C5902" w:rsidRDefault="00B84C0A" w:rsidP="008C5902">
      <w:pPr>
        <w:pStyle w:val="EndNoteBibliography"/>
        <w:ind w:left="720" w:hanging="720"/>
      </w:pPr>
      <w:r w:rsidRPr="008C5902">
        <w:t>51.</w:t>
      </w:r>
      <w:r w:rsidRPr="008C5902">
        <w:tab/>
        <w:t xml:space="preserve">Kristine Koekkoek W, Panteleon V, van Zanten AR. Current evidence on ω-3 fatty acids in enteral nutrition in the critically ill: A systematic review and meta-analysis. </w:t>
      </w:r>
      <w:r w:rsidRPr="008C5902">
        <w:rPr>
          <w:i/>
        </w:rPr>
        <w:t xml:space="preserve">Nutrition. </w:t>
      </w:r>
      <w:r w:rsidRPr="008C5902">
        <w:t>2019;59:56-68.</w:t>
      </w:r>
    </w:p>
    <w:p w14:paraId="0E5D078B" w14:textId="77777777" w:rsidR="00B84C0A" w:rsidRPr="008C5902" w:rsidRDefault="00B84C0A" w:rsidP="008C5902">
      <w:pPr>
        <w:pStyle w:val="EndNoteBibliography"/>
        <w:ind w:left="720" w:hanging="720"/>
      </w:pPr>
      <w:r w:rsidRPr="008C5902">
        <w:t>52.</w:t>
      </w:r>
      <w:r w:rsidRPr="008C5902">
        <w:tab/>
        <w:t xml:space="preserve">Li WT, Ma J, Shende N, et al. Using machine learning of clinical data to diagnose COVID-19: a systematic review and meta-analysis. </w:t>
      </w:r>
      <w:r w:rsidRPr="008C5902">
        <w:rPr>
          <w:i/>
        </w:rPr>
        <w:t xml:space="preserve">BMC Med Inform Decis Mak. </w:t>
      </w:r>
      <w:r w:rsidRPr="008C5902">
        <w:t>2020;20(1):247.</w:t>
      </w:r>
    </w:p>
    <w:p w14:paraId="21F71BE4" w14:textId="77777777" w:rsidR="00B84C0A" w:rsidRPr="008C5902" w:rsidRDefault="00B84C0A" w:rsidP="008C5902">
      <w:pPr>
        <w:pStyle w:val="EndNoteBibliography"/>
        <w:ind w:left="720" w:hanging="720"/>
      </w:pPr>
      <w:r w:rsidRPr="008C5902">
        <w:t>53.</w:t>
      </w:r>
      <w:r w:rsidRPr="008C5902">
        <w:tab/>
        <w:t xml:space="preserve">Machado KDC, Islam MT, Ali ES, et al. A systematic review on the neuroprotective perspectives of beta-caryophyllene. </w:t>
      </w:r>
      <w:r w:rsidRPr="008C5902">
        <w:rPr>
          <w:i/>
        </w:rPr>
        <w:t xml:space="preserve">Phytother Res. </w:t>
      </w:r>
      <w:r w:rsidRPr="008C5902">
        <w:t>2018;32(12):2376-2388.</w:t>
      </w:r>
    </w:p>
    <w:p w14:paraId="1FF5BCBE" w14:textId="77777777" w:rsidR="00B84C0A" w:rsidRPr="008C5902" w:rsidRDefault="00B84C0A" w:rsidP="008C5902">
      <w:pPr>
        <w:pStyle w:val="EndNoteBibliography"/>
        <w:ind w:left="720" w:hanging="720"/>
      </w:pPr>
      <w:r w:rsidRPr="008C5902">
        <w:t>54.</w:t>
      </w:r>
      <w:r w:rsidRPr="008C5902">
        <w:tab/>
        <w:t xml:space="preserve">Mahmoodi MR, Mohammadizadeh M. Therapeutic potentials of Nigella sativa preparations and its constituents in the management of diabetes and its complications in experimental animals and patients with diabetes mellitus: A systematic review. </w:t>
      </w:r>
      <w:r w:rsidRPr="008C5902">
        <w:rPr>
          <w:i/>
        </w:rPr>
        <w:t xml:space="preserve">Complement Ther Med. </w:t>
      </w:r>
      <w:r w:rsidRPr="008C5902">
        <w:t>2020;50:102391.</w:t>
      </w:r>
    </w:p>
    <w:p w14:paraId="3156805E" w14:textId="77777777" w:rsidR="00B84C0A" w:rsidRPr="008C5902" w:rsidRDefault="00B84C0A" w:rsidP="008C5902">
      <w:pPr>
        <w:pStyle w:val="EndNoteBibliography"/>
        <w:ind w:left="720" w:hanging="720"/>
      </w:pPr>
      <w:r w:rsidRPr="008C5902">
        <w:t>55.</w:t>
      </w:r>
      <w:r w:rsidRPr="008C5902">
        <w:tab/>
        <w:t xml:space="preserve">Mancus GC, Campbell J. Integrative Review of the Intersection of Green Space and Neighborhood Violence. </w:t>
      </w:r>
      <w:r w:rsidRPr="008C5902">
        <w:rPr>
          <w:i/>
        </w:rPr>
        <w:t xml:space="preserve">J Nurs Scholarsh. </w:t>
      </w:r>
      <w:r w:rsidRPr="008C5902">
        <w:t>2018;50(2):117-125.</w:t>
      </w:r>
    </w:p>
    <w:p w14:paraId="5E876A97" w14:textId="77777777" w:rsidR="00B84C0A" w:rsidRPr="008C5902" w:rsidRDefault="00B84C0A" w:rsidP="008C5902">
      <w:pPr>
        <w:pStyle w:val="EndNoteBibliography"/>
        <w:ind w:left="720" w:hanging="720"/>
      </w:pPr>
      <w:r w:rsidRPr="008C5902">
        <w:t>56.</w:t>
      </w:r>
      <w:r w:rsidRPr="008C5902">
        <w:tab/>
        <w:t xml:space="preserve">Markkanen S, Rautiainen M, Niemi P, Helminen M, Peltomäki T. Is securing normal dentofacial development an indication for tonsil surgery in children? A systematic review and meta-analysis. </w:t>
      </w:r>
      <w:r w:rsidRPr="008C5902">
        <w:rPr>
          <w:i/>
        </w:rPr>
        <w:t xml:space="preserve">Int J Pediatr Otorhinolaryngol. </w:t>
      </w:r>
      <w:r w:rsidRPr="008C5902">
        <w:t>2020;133:110006.</w:t>
      </w:r>
    </w:p>
    <w:p w14:paraId="0C1117E6" w14:textId="77777777" w:rsidR="00B84C0A" w:rsidRPr="008C5902" w:rsidRDefault="00B84C0A" w:rsidP="008C5902">
      <w:pPr>
        <w:pStyle w:val="EndNoteBibliography"/>
        <w:ind w:left="720" w:hanging="720"/>
      </w:pPr>
      <w:r w:rsidRPr="008C5902">
        <w:t>57.</w:t>
      </w:r>
      <w:r w:rsidRPr="008C5902">
        <w:tab/>
        <w:t xml:space="preserve">Micic D, Komaki Y, Alavanja A, Rubin DT, Sakuraba A. Risk of Cancer Recurrence Among Individuals Exposed to Antitumor Necrosis Factor Therapy: A Systematic Review and Meta-Analysis of Observational Studies. </w:t>
      </w:r>
      <w:r w:rsidRPr="008C5902">
        <w:rPr>
          <w:i/>
        </w:rPr>
        <w:t xml:space="preserve">J Clin Gastroenterol. </w:t>
      </w:r>
      <w:r w:rsidRPr="008C5902">
        <w:t>2019;53(1):e1-e11.</w:t>
      </w:r>
    </w:p>
    <w:p w14:paraId="06CE7B65" w14:textId="77777777" w:rsidR="00B84C0A" w:rsidRPr="008C5902" w:rsidRDefault="00B84C0A" w:rsidP="008C5902">
      <w:pPr>
        <w:pStyle w:val="EndNoteBibliography"/>
        <w:ind w:left="720" w:hanging="720"/>
      </w:pPr>
      <w:r w:rsidRPr="008C5902">
        <w:t>58.</w:t>
      </w:r>
      <w:r w:rsidRPr="008C5902">
        <w:tab/>
        <w:t xml:space="preserve">Miller LE, Lehtoranta L, Lehtinen MJ. Short-term probiotic supplementation enhances cellular immune function in healthy elderly: systematic review and meta-analysis of controlled studies. </w:t>
      </w:r>
      <w:r w:rsidRPr="008C5902">
        <w:rPr>
          <w:i/>
        </w:rPr>
        <w:t xml:space="preserve">Nutr Res. </w:t>
      </w:r>
      <w:r w:rsidRPr="008C5902">
        <w:t>2019;64:1-8.</w:t>
      </w:r>
    </w:p>
    <w:p w14:paraId="3A6084F1" w14:textId="77777777" w:rsidR="00B84C0A" w:rsidRPr="008C5902" w:rsidRDefault="00B84C0A" w:rsidP="008C5902">
      <w:pPr>
        <w:pStyle w:val="EndNoteBibliography"/>
        <w:ind w:left="720" w:hanging="720"/>
      </w:pPr>
      <w:r w:rsidRPr="008C5902">
        <w:t>59.</w:t>
      </w:r>
      <w:r w:rsidRPr="008C5902">
        <w:tab/>
        <w:t xml:space="preserve">Mohammadi Z, Poustchi H, Motamed-Gorji N, et al. Fecal Microbiota in Non-Alcoholic Fatty Liver Disease and Non-Alcoholic Steatohepatitis: A Systematic Review. </w:t>
      </w:r>
      <w:r w:rsidRPr="008C5902">
        <w:rPr>
          <w:i/>
        </w:rPr>
        <w:t xml:space="preserve">Arch Iran Med. </w:t>
      </w:r>
      <w:r w:rsidRPr="008C5902">
        <w:t>2020;23(1):44-52.</w:t>
      </w:r>
    </w:p>
    <w:p w14:paraId="23D8F4AF" w14:textId="77777777" w:rsidR="00B84C0A" w:rsidRPr="008C5902" w:rsidRDefault="00B84C0A" w:rsidP="008C5902">
      <w:pPr>
        <w:pStyle w:val="EndNoteBibliography"/>
        <w:ind w:left="720" w:hanging="720"/>
      </w:pPr>
      <w:r w:rsidRPr="008C5902">
        <w:t>60.</w:t>
      </w:r>
      <w:r w:rsidRPr="008C5902">
        <w:tab/>
        <w:t xml:space="preserve">Moradi F, Maleki V, Saleh-Ghadimi S, Kooshki F, Pourghassem Gargari B. Potential roles of chromium on inflammatory biomarkers in diabetes: A Systematic. </w:t>
      </w:r>
      <w:r w:rsidRPr="008C5902">
        <w:rPr>
          <w:i/>
        </w:rPr>
        <w:t xml:space="preserve">Clin Exp Pharmacol Physiol. </w:t>
      </w:r>
      <w:r w:rsidRPr="008C5902">
        <w:t>2019;46(11):975-983.</w:t>
      </w:r>
    </w:p>
    <w:p w14:paraId="552F9CF6" w14:textId="77777777" w:rsidR="00B84C0A" w:rsidRPr="008C5902" w:rsidRDefault="00B84C0A" w:rsidP="008C5902">
      <w:pPr>
        <w:pStyle w:val="EndNoteBibliography"/>
        <w:ind w:left="720" w:hanging="720"/>
      </w:pPr>
      <w:r w:rsidRPr="008C5902">
        <w:t>61.</w:t>
      </w:r>
      <w:r w:rsidRPr="008C5902">
        <w:tab/>
        <w:t xml:space="preserve">Morales-Suarez-Varela M, Peraita-Costa I, Llopis-Morales A, Llopis-Gonzalez A. Supplementation with micronutrients and schistosomiasis: systematic review and meta-analysis. </w:t>
      </w:r>
      <w:r w:rsidRPr="008C5902">
        <w:rPr>
          <w:i/>
        </w:rPr>
        <w:t xml:space="preserve">Pathog Glob Health. </w:t>
      </w:r>
      <w:r w:rsidRPr="008C5902">
        <w:t>2019;113(3):101-108.</w:t>
      </w:r>
    </w:p>
    <w:p w14:paraId="1EA57CD6" w14:textId="77777777" w:rsidR="00B84C0A" w:rsidRPr="008C5902" w:rsidRDefault="00B84C0A" w:rsidP="008C5902">
      <w:pPr>
        <w:pStyle w:val="EndNoteBibliography"/>
        <w:ind w:left="720" w:hanging="720"/>
      </w:pPr>
      <w:r w:rsidRPr="008C5902">
        <w:t>62.</w:t>
      </w:r>
      <w:r w:rsidRPr="008C5902">
        <w:tab/>
        <w:t xml:space="preserve">Mukkada V, Falk GW, Eichinger CS, King D, Todorova L, Shaheen NJ. Health-Related Quality of Life and Costs Associated With Eosinophilic Esophagitis: A Systematic Review. </w:t>
      </w:r>
      <w:r w:rsidRPr="008C5902">
        <w:rPr>
          <w:i/>
        </w:rPr>
        <w:t xml:space="preserve">Clin Gastroenterol Hepatol. </w:t>
      </w:r>
      <w:r w:rsidRPr="008C5902">
        <w:t>2018;16(4):495-503.e498.</w:t>
      </w:r>
    </w:p>
    <w:p w14:paraId="4DB2CDB2" w14:textId="77777777" w:rsidR="00B84C0A" w:rsidRPr="008C5902" w:rsidRDefault="00B84C0A" w:rsidP="008C5902">
      <w:pPr>
        <w:pStyle w:val="EndNoteBibliography"/>
        <w:ind w:left="720" w:hanging="720"/>
      </w:pPr>
      <w:r w:rsidRPr="008C5902">
        <w:t>63.</w:t>
      </w:r>
      <w:r w:rsidRPr="008C5902">
        <w:tab/>
        <w:t xml:space="preserve">Neff SM, Roecker CB, Okamoto CS, et al. Guidance concerning chiropractic practice in response to COVID-19 in the U.S.: a summary of state regulators' web-based information. </w:t>
      </w:r>
      <w:r w:rsidRPr="008C5902">
        <w:rPr>
          <w:i/>
        </w:rPr>
        <w:t xml:space="preserve">Chiropr Man Therap. </w:t>
      </w:r>
      <w:r w:rsidRPr="008C5902">
        <w:t>2020;28(1):44.</w:t>
      </w:r>
    </w:p>
    <w:p w14:paraId="5F8A0918" w14:textId="77777777" w:rsidR="00B84C0A" w:rsidRPr="008C5902" w:rsidRDefault="00B84C0A" w:rsidP="008C5902">
      <w:pPr>
        <w:pStyle w:val="EndNoteBibliography"/>
        <w:ind w:left="720" w:hanging="720"/>
      </w:pPr>
      <w:r w:rsidRPr="008C5902">
        <w:t>64.</w:t>
      </w:r>
      <w:r w:rsidRPr="008C5902">
        <w:tab/>
        <w:t xml:space="preserve">Ni X, Chan RJ, Yates P, Hu W, Huang X, Lou Y. The effects of Tai Chi on quality of life of cancer survivors: a systematic review and meta-analysis. </w:t>
      </w:r>
      <w:r w:rsidRPr="008C5902">
        <w:rPr>
          <w:i/>
        </w:rPr>
        <w:t xml:space="preserve">Support Care Cancer. </w:t>
      </w:r>
      <w:r w:rsidRPr="008C5902">
        <w:t>2019;27(10):3701-3716.</w:t>
      </w:r>
    </w:p>
    <w:p w14:paraId="4D8BB8FB" w14:textId="77777777" w:rsidR="00B84C0A" w:rsidRPr="008C5902" w:rsidRDefault="00B84C0A" w:rsidP="008C5902">
      <w:pPr>
        <w:pStyle w:val="EndNoteBibliography"/>
        <w:ind w:left="720" w:hanging="720"/>
      </w:pPr>
      <w:r w:rsidRPr="008C5902">
        <w:t>65.</w:t>
      </w:r>
      <w:r w:rsidRPr="008C5902">
        <w:tab/>
        <w:t xml:space="preserve">Nowak AL, Anderson CM, Mackos AR, Neiman E, Gillespie SL. Stress During Pregnancy and Epigenetic Modifications to Offspring DNA: A Systematic Review of Associations and Implications for Preterm Birth. </w:t>
      </w:r>
      <w:r w:rsidRPr="008C5902">
        <w:rPr>
          <w:i/>
        </w:rPr>
        <w:t xml:space="preserve">J Perinat Neonatal Nurs. </w:t>
      </w:r>
      <w:r w:rsidRPr="008C5902">
        <w:t>2020;34(2):134-145.</w:t>
      </w:r>
    </w:p>
    <w:p w14:paraId="0444582B" w14:textId="77777777" w:rsidR="00B84C0A" w:rsidRPr="008C5902" w:rsidRDefault="00B84C0A" w:rsidP="008C5902">
      <w:pPr>
        <w:pStyle w:val="EndNoteBibliography"/>
        <w:ind w:left="720" w:hanging="720"/>
      </w:pPr>
      <w:r w:rsidRPr="008C5902">
        <w:t>66.</w:t>
      </w:r>
      <w:r w:rsidRPr="008C5902">
        <w:tab/>
        <w:t xml:space="preserve">Pabla L, Duffin J, Flood L, Blackmore K. Paediatric obstructive sleep apnoea: is our operative management evidence-based? </w:t>
      </w:r>
      <w:r w:rsidRPr="008C5902">
        <w:rPr>
          <w:i/>
        </w:rPr>
        <w:t xml:space="preserve">J Laryngol Otol. </w:t>
      </w:r>
      <w:r w:rsidRPr="008C5902">
        <w:t>2018;132(4):293-298.</w:t>
      </w:r>
    </w:p>
    <w:p w14:paraId="4CF71B13" w14:textId="77777777" w:rsidR="00B84C0A" w:rsidRPr="008C5902" w:rsidRDefault="00B84C0A" w:rsidP="008C5902">
      <w:pPr>
        <w:pStyle w:val="EndNoteBibliography"/>
        <w:ind w:left="720" w:hanging="720"/>
      </w:pPr>
      <w:r w:rsidRPr="008C5902">
        <w:t>67.</w:t>
      </w:r>
      <w:r w:rsidRPr="008C5902">
        <w:tab/>
        <w:t xml:space="preserve">Pajewska-Szmyt M, Sinkiewicz-Darol E, Gadzała-Kopciuch R. The impact of environmental pollution on the quality of mother's milk. </w:t>
      </w:r>
      <w:r w:rsidRPr="008C5902">
        <w:rPr>
          <w:i/>
        </w:rPr>
        <w:t xml:space="preserve">Environ Sci Pollut Res Int. </w:t>
      </w:r>
      <w:r w:rsidRPr="008C5902">
        <w:t>2019;26(8):7405-7427.</w:t>
      </w:r>
    </w:p>
    <w:p w14:paraId="3ED67D3F" w14:textId="77777777" w:rsidR="00B84C0A" w:rsidRPr="008C5902" w:rsidRDefault="00B84C0A" w:rsidP="008C5902">
      <w:pPr>
        <w:pStyle w:val="EndNoteBibliography"/>
        <w:ind w:left="720" w:hanging="720"/>
      </w:pPr>
      <w:r w:rsidRPr="008C5902">
        <w:t>68.</w:t>
      </w:r>
      <w:r w:rsidRPr="008C5902">
        <w:tab/>
        <w:t xml:space="preserve">Palmowski J, Reichel T, Boßlau TK, Krüger K. The effect of acute running and cycling exercise on T cell apoptosis in humans: A systematic review. </w:t>
      </w:r>
      <w:r w:rsidRPr="008C5902">
        <w:rPr>
          <w:i/>
        </w:rPr>
        <w:t xml:space="preserve">Scand J Immunol. </w:t>
      </w:r>
      <w:r w:rsidRPr="008C5902">
        <w:t>2020;91(2):e12834.</w:t>
      </w:r>
    </w:p>
    <w:p w14:paraId="458FAF74" w14:textId="77777777" w:rsidR="00B84C0A" w:rsidRPr="008C5902" w:rsidRDefault="00B84C0A" w:rsidP="008C5902">
      <w:pPr>
        <w:pStyle w:val="EndNoteBibliography"/>
        <w:ind w:left="720" w:hanging="720"/>
      </w:pPr>
      <w:r w:rsidRPr="008C5902">
        <w:t>69.</w:t>
      </w:r>
      <w:r w:rsidRPr="008C5902">
        <w:tab/>
        <w:t xml:space="preserve">Parks NE, Jackson-Tarlton CS, Vacchi L, Merdad R, Johnston BC. Dietary interventions for multiple sclerosis-related outcomes. </w:t>
      </w:r>
      <w:r w:rsidRPr="008C5902">
        <w:rPr>
          <w:i/>
        </w:rPr>
        <w:t xml:space="preserve">Cochrane Database Syst Rev. </w:t>
      </w:r>
      <w:r w:rsidRPr="008C5902">
        <w:t>2020;5(5):Cd004192.</w:t>
      </w:r>
    </w:p>
    <w:p w14:paraId="344ADF9D" w14:textId="77777777" w:rsidR="00B84C0A" w:rsidRPr="008C5902" w:rsidRDefault="00B84C0A" w:rsidP="008C5902">
      <w:pPr>
        <w:pStyle w:val="EndNoteBibliography"/>
        <w:ind w:left="720" w:hanging="720"/>
      </w:pPr>
      <w:r w:rsidRPr="008C5902">
        <w:t>70.</w:t>
      </w:r>
      <w:r w:rsidRPr="008C5902">
        <w:tab/>
        <w:t xml:space="preserve">Pascual-González Y, López-Sánchez M, Dorca J, Santos S. Defining the role of neutrophil-to-lymphocyte ratio in COPD: a systematic literature review. </w:t>
      </w:r>
      <w:r w:rsidRPr="008C5902">
        <w:rPr>
          <w:i/>
        </w:rPr>
        <w:t xml:space="preserve">Int J Chron Obstruct Pulmon Dis. </w:t>
      </w:r>
      <w:r w:rsidRPr="008C5902">
        <w:t>2018;13:3651-3662.</w:t>
      </w:r>
    </w:p>
    <w:p w14:paraId="37716825" w14:textId="77777777" w:rsidR="00B84C0A" w:rsidRPr="008C5902" w:rsidRDefault="00B84C0A" w:rsidP="008C5902">
      <w:pPr>
        <w:pStyle w:val="EndNoteBibliography"/>
        <w:ind w:left="720" w:hanging="720"/>
      </w:pPr>
      <w:r w:rsidRPr="008C5902">
        <w:t>71.</w:t>
      </w:r>
      <w:r w:rsidRPr="008C5902">
        <w:tab/>
        <w:t xml:space="preserve">Pattnaik B, Sryma PB, Mittal S, Agrawal A, Guleria R, Madan K. MicroRNAs in pulmonary sarcoidosis: A systematic review. </w:t>
      </w:r>
      <w:r w:rsidRPr="008C5902">
        <w:rPr>
          <w:i/>
        </w:rPr>
        <w:t xml:space="preserve">Respir Investig. </w:t>
      </w:r>
      <w:r w:rsidRPr="008C5902">
        <w:t>2020;58(4):232-238.</w:t>
      </w:r>
    </w:p>
    <w:p w14:paraId="14B532AE" w14:textId="77777777" w:rsidR="00B84C0A" w:rsidRPr="008C5902" w:rsidRDefault="00B84C0A" w:rsidP="008C5902">
      <w:pPr>
        <w:pStyle w:val="EndNoteBibliography"/>
        <w:ind w:left="720" w:hanging="720"/>
      </w:pPr>
      <w:r w:rsidRPr="008C5902">
        <w:t>72.</w:t>
      </w:r>
      <w:r w:rsidRPr="008C5902">
        <w:tab/>
        <w:t xml:space="preserve">Pereira L, Monyror J, Almeida FT, et al. Prevalence of adenoid hypertrophy: A systematic review and meta-analysis. </w:t>
      </w:r>
      <w:r w:rsidRPr="008C5902">
        <w:rPr>
          <w:i/>
        </w:rPr>
        <w:t xml:space="preserve">Sleep Med Rev. </w:t>
      </w:r>
      <w:r w:rsidRPr="008C5902">
        <w:t>2018;38:101-112.</w:t>
      </w:r>
    </w:p>
    <w:p w14:paraId="0665EB85" w14:textId="77777777" w:rsidR="00B84C0A" w:rsidRPr="008C5902" w:rsidRDefault="00B84C0A" w:rsidP="008C5902">
      <w:pPr>
        <w:pStyle w:val="EndNoteBibliography"/>
        <w:ind w:left="720" w:hanging="720"/>
      </w:pPr>
      <w:r w:rsidRPr="008C5902">
        <w:t>73.</w:t>
      </w:r>
      <w:r w:rsidRPr="008C5902">
        <w:tab/>
        <w:t xml:space="preserve">Petrosino S, Schiano Moriello A. Palmitoylethanolamide: A Nutritional Approach to Keep Neuroinflammation within Physiological Boundaries-A Systematic Review. </w:t>
      </w:r>
      <w:r w:rsidRPr="008C5902">
        <w:rPr>
          <w:i/>
        </w:rPr>
        <w:t xml:space="preserve">Int J Mol Sci. </w:t>
      </w:r>
      <w:r w:rsidRPr="008C5902">
        <w:t>2020;21(24).</w:t>
      </w:r>
    </w:p>
    <w:p w14:paraId="0F090A89" w14:textId="77777777" w:rsidR="00B84C0A" w:rsidRPr="008C5902" w:rsidRDefault="00B84C0A" w:rsidP="008C5902">
      <w:pPr>
        <w:pStyle w:val="EndNoteBibliography"/>
        <w:ind w:left="720" w:hanging="720"/>
      </w:pPr>
      <w:r w:rsidRPr="008C5902">
        <w:t>74.</w:t>
      </w:r>
      <w:r w:rsidRPr="008C5902">
        <w:tab/>
        <w:t xml:space="preserve">Probst Y, Mowbray E, Svensen E, Thompson K. A Systematic Review of the Impact of Dietary Sodium on Autoimmunity and Inflammation Related to Multiple Sclerosis. </w:t>
      </w:r>
      <w:r w:rsidRPr="008C5902">
        <w:rPr>
          <w:i/>
        </w:rPr>
        <w:t xml:space="preserve">Adv Nutr. </w:t>
      </w:r>
      <w:r w:rsidRPr="008C5902">
        <w:t>2019;10(5):902-910.</w:t>
      </w:r>
    </w:p>
    <w:p w14:paraId="68E5EC9A" w14:textId="77777777" w:rsidR="00B84C0A" w:rsidRPr="008C5902" w:rsidRDefault="00B84C0A" w:rsidP="008C5902">
      <w:pPr>
        <w:pStyle w:val="EndNoteBibliography"/>
        <w:ind w:left="720" w:hanging="720"/>
      </w:pPr>
      <w:r w:rsidRPr="008C5902">
        <w:t>75.</w:t>
      </w:r>
      <w:r w:rsidRPr="008C5902">
        <w:tab/>
        <w:t xml:space="preserve">Ramezani Ahmadi A, Rayyani E, Bahreini M, Mansoori A. The effect of glutamine supplementation on athletic performance, body composition, and immune function: A systematic review and a meta-analysis of clinical trials. </w:t>
      </w:r>
      <w:r w:rsidRPr="008C5902">
        <w:rPr>
          <w:i/>
        </w:rPr>
        <w:t xml:space="preserve">Clin Nutr. </w:t>
      </w:r>
      <w:r w:rsidRPr="008C5902">
        <w:t>2019;38(3):1076-1091.</w:t>
      </w:r>
    </w:p>
    <w:p w14:paraId="57B2D10C" w14:textId="77777777" w:rsidR="00B84C0A" w:rsidRPr="008C5902" w:rsidRDefault="00B84C0A" w:rsidP="008C5902">
      <w:pPr>
        <w:pStyle w:val="EndNoteBibliography"/>
        <w:ind w:left="720" w:hanging="720"/>
      </w:pPr>
      <w:r w:rsidRPr="008C5902">
        <w:t>76.</w:t>
      </w:r>
      <w:r w:rsidRPr="008C5902">
        <w:tab/>
        <w:t xml:space="preserve">Rank MA, Sharaf RN, Furuta GT, et al. Technical Review on the Management of Eosinophilic Esophagitis: A Report From the AGA Institute and the Joint Task Force on Allergy-Immunology Practice Parameters. </w:t>
      </w:r>
      <w:r w:rsidRPr="008C5902">
        <w:rPr>
          <w:i/>
        </w:rPr>
        <w:t xml:space="preserve">Gastroenterology. </w:t>
      </w:r>
      <w:r w:rsidRPr="008C5902">
        <w:t>2020;158(6):1789-1810.e1715.</w:t>
      </w:r>
    </w:p>
    <w:p w14:paraId="020A91EE" w14:textId="77777777" w:rsidR="00B84C0A" w:rsidRPr="008C5902" w:rsidRDefault="00B84C0A" w:rsidP="008C5902">
      <w:pPr>
        <w:pStyle w:val="EndNoteBibliography"/>
        <w:ind w:left="720" w:hanging="720"/>
      </w:pPr>
      <w:r w:rsidRPr="008C5902">
        <w:t>77.</w:t>
      </w:r>
      <w:r w:rsidRPr="008C5902">
        <w:tab/>
        <w:t xml:space="preserve">Reive C. The Biological Measurements of Mindfulness-based Stress Reduction: A Systematic Review. </w:t>
      </w:r>
      <w:r w:rsidRPr="008C5902">
        <w:rPr>
          <w:i/>
        </w:rPr>
        <w:t xml:space="preserve">Explore (NY). </w:t>
      </w:r>
      <w:r w:rsidRPr="008C5902">
        <w:t>2019;15(4):295-307.</w:t>
      </w:r>
    </w:p>
    <w:p w14:paraId="6A8CFF65" w14:textId="77777777" w:rsidR="00B84C0A" w:rsidRPr="008C5902" w:rsidRDefault="00B84C0A" w:rsidP="008C5902">
      <w:pPr>
        <w:pStyle w:val="EndNoteBibliography"/>
        <w:ind w:left="720" w:hanging="720"/>
      </w:pPr>
      <w:r w:rsidRPr="008C5902">
        <w:t>78.</w:t>
      </w:r>
      <w:r w:rsidRPr="008C5902">
        <w:tab/>
        <w:t xml:space="preserve">Roth DL, Sheehan OC, Haley WE, Jenny NS, Cushman M, Walston JD. Is Family Caregiving Associated With Inflammation or Compromised Immunity? A Meta-Analysis. </w:t>
      </w:r>
      <w:r w:rsidRPr="008C5902">
        <w:rPr>
          <w:i/>
        </w:rPr>
        <w:t xml:space="preserve">Gerontologist. </w:t>
      </w:r>
      <w:r w:rsidRPr="008C5902">
        <w:t>2019;59(5):e521-e534.</w:t>
      </w:r>
    </w:p>
    <w:p w14:paraId="3E2EBEC7" w14:textId="77777777" w:rsidR="00B84C0A" w:rsidRPr="008C5902" w:rsidRDefault="00B84C0A" w:rsidP="008C5902">
      <w:pPr>
        <w:pStyle w:val="EndNoteBibliography"/>
        <w:ind w:left="720" w:hanging="720"/>
      </w:pPr>
      <w:r w:rsidRPr="008C5902">
        <w:t>79.</w:t>
      </w:r>
      <w:r w:rsidRPr="008C5902">
        <w:tab/>
        <w:t xml:space="preserve">Shah SC, Tepler A, Peek RM, Jr., Colombel JF, Hirano I, Narula N. Association Between Helicobacter pylori Exposure and Decreased Odds of Eosinophilic Esophagitis-A Systematic Review and Meta-analysis. </w:t>
      </w:r>
      <w:r w:rsidRPr="008C5902">
        <w:rPr>
          <w:i/>
        </w:rPr>
        <w:t xml:space="preserve">Clin Gastroenterol Hepatol. </w:t>
      </w:r>
      <w:r w:rsidRPr="008C5902">
        <w:t>2019;17(11):2185-2198.e2183.</w:t>
      </w:r>
    </w:p>
    <w:p w14:paraId="2259B728" w14:textId="77777777" w:rsidR="00B84C0A" w:rsidRPr="008C5902" w:rsidRDefault="00B84C0A" w:rsidP="008C5902">
      <w:pPr>
        <w:pStyle w:val="EndNoteBibliography"/>
        <w:ind w:left="720" w:hanging="720"/>
      </w:pPr>
      <w:r w:rsidRPr="008C5902">
        <w:t>80.</w:t>
      </w:r>
      <w:r w:rsidRPr="008C5902">
        <w:tab/>
        <w:t xml:space="preserve">Siddiqui NY, Helfand BT, Andreev VP, et al. Biomarkers Implicated in Lower Urinary Tract Symptoms: Systematic Review and Pathway Analyses. </w:t>
      </w:r>
      <w:r w:rsidRPr="008C5902">
        <w:rPr>
          <w:i/>
        </w:rPr>
        <w:t xml:space="preserve">J Urol. </w:t>
      </w:r>
      <w:r w:rsidRPr="008C5902">
        <w:t>2019;202(5):880-889.</w:t>
      </w:r>
    </w:p>
    <w:p w14:paraId="66D42B5B" w14:textId="77777777" w:rsidR="00B84C0A" w:rsidRPr="008C5902" w:rsidRDefault="00B84C0A" w:rsidP="008C5902">
      <w:pPr>
        <w:pStyle w:val="EndNoteBibliography"/>
        <w:ind w:left="720" w:hanging="720"/>
      </w:pPr>
      <w:r w:rsidRPr="008C5902">
        <w:t>81.</w:t>
      </w:r>
      <w:r w:rsidRPr="008C5902">
        <w:tab/>
        <w:t xml:space="preserve">Singh A, Yelverton CJ, Barnard TG. Rapid Quantification of the Total Viable Bacterial Population on Human Hands Using Flow Cytometry with SYBR(R) Green I. </w:t>
      </w:r>
      <w:r w:rsidRPr="008C5902">
        <w:rPr>
          <w:i/>
        </w:rPr>
        <w:t xml:space="preserve">Cytometry B Clin Cytom. </w:t>
      </w:r>
      <w:r w:rsidRPr="008C5902">
        <w:t>2019;96(5):397-403.</w:t>
      </w:r>
    </w:p>
    <w:p w14:paraId="74903A3E" w14:textId="77777777" w:rsidR="00B84C0A" w:rsidRPr="008C5902" w:rsidRDefault="00B84C0A" w:rsidP="008C5902">
      <w:pPr>
        <w:pStyle w:val="EndNoteBibliography"/>
        <w:ind w:left="720" w:hanging="720"/>
      </w:pPr>
      <w:r w:rsidRPr="008C5902">
        <w:t>82.</w:t>
      </w:r>
      <w:r w:rsidRPr="008C5902">
        <w:tab/>
        <w:t xml:space="preserve">Singh M, Kotnis A, Jadeja SD, Mondal A, Mansuri MS, Begum R. Cytokines: the yin and yang of vitiligo pathogenesis. </w:t>
      </w:r>
      <w:r w:rsidRPr="008C5902">
        <w:rPr>
          <w:i/>
        </w:rPr>
        <w:t xml:space="preserve">Expert Rev Clin Immunol. </w:t>
      </w:r>
      <w:r w:rsidRPr="008C5902">
        <w:t>2019;15(2):177-188.</w:t>
      </w:r>
    </w:p>
    <w:p w14:paraId="5C1743D9" w14:textId="77777777" w:rsidR="00B84C0A" w:rsidRPr="008C5902" w:rsidRDefault="00B84C0A" w:rsidP="008C5902">
      <w:pPr>
        <w:pStyle w:val="EndNoteBibliography"/>
        <w:ind w:left="720" w:hanging="720"/>
      </w:pPr>
      <w:r w:rsidRPr="008C5902">
        <w:t>83.</w:t>
      </w:r>
      <w:r w:rsidRPr="008C5902">
        <w:tab/>
        <w:t xml:space="preserve">Soleimani D, Miryan M, Tutunchi H, et al. A systematic review of preclinical studies on the efficacy of propolis for the treatment of inflammatory bowel disease. </w:t>
      </w:r>
      <w:r w:rsidRPr="008C5902">
        <w:rPr>
          <w:i/>
        </w:rPr>
        <w:t xml:space="preserve">Phytother Res. </w:t>
      </w:r>
      <w:r w:rsidRPr="008C5902">
        <w:t>2021;35(2):701-710.</w:t>
      </w:r>
    </w:p>
    <w:p w14:paraId="0392C842" w14:textId="77777777" w:rsidR="00B84C0A" w:rsidRPr="008C5902" w:rsidRDefault="00B84C0A" w:rsidP="008C5902">
      <w:pPr>
        <w:pStyle w:val="EndNoteBibliography"/>
        <w:ind w:left="720" w:hanging="720"/>
      </w:pPr>
      <w:r w:rsidRPr="008C5902">
        <w:t>84.</w:t>
      </w:r>
      <w:r w:rsidRPr="008C5902">
        <w:tab/>
        <w:t xml:space="preserve">Song Y, Ren F, Sun D, et al. Benefits of Exercise on Influenza or Pneumonia in Older Adults: A Systematic Review. </w:t>
      </w:r>
      <w:r w:rsidRPr="008C5902">
        <w:rPr>
          <w:i/>
        </w:rPr>
        <w:t xml:space="preserve">Int J Environ Res Public Health. </w:t>
      </w:r>
      <w:r w:rsidRPr="008C5902">
        <w:t>2020;17(8).</w:t>
      </w:r>
    </w:p>
    <w:p w14:paraId="31193916" w14:textId="77777777" w:rsidR="00B84C0A" w:rsidRPr="008C5902" w:rsidRDefault="00B84C0A" w:rsidP="008C5902">
      <w:pPr>
        <w:pStyle w:val="EndNoteBibliography"/>
        <w:ind w:left="720" w:hanging="720"/>
      </w:pPr>
      <w:r w:rsidRPr="008C5902">
        <w:t>85.</w:t>
      </w:r>
      <w:r w:rsidRPr="008C5902">
        <w:tab/>
        <w:t xml:space="preserve">Swarbrick S, Wragg N, Ghosh S, Stolzing A. Systematic Review of miRNA as Biomarkers in Alzheimer's Disease. </w:t>
      </w:r>
      <w:r w:rsidRPr="008C5902">
        <w:rPr>
          <w:i/>
        </w:rPr>
        <w:t xml:space="preserve">Mol Neurobiol. </w:t>
      </w:r>
      <w:r w:rsidRPr="008C5902">
        <w:t>2019;56(9):6156-6167.</w:t>
      </w:r>
    </w:p>
    <w:p w14:paraId="2FAFC1CE" w14:textId="77777777" w:rsidR="00B84C0A" w:rsidRPr="008C5902" w:rsidRDefault="00B84C0A" w:rsidP="008C5902">
      <w:pPr>
        <w:pStyle w:val="EndNoteBibliography"/>
        <w:ind w:left="720" w:hanging="720"/>
      </w:pPr>
      <w:r w:rsidRPr="008C5902">
        <w:t>86.</w:t>
      </w:r>
      <w:r w:rsidRPr="008C5902">
        <w:tab/>
        <w:t xml:space="preserve">Tesfamariam K, De Boevre M, Kolsteren P, et al. Dietary mycotoxins exposure and child growth, immune system, morbidity, and mortality: a systematic literature review. </w:t>
      </w:r>
      <w:r w:rsidRPr="008C5902">
        <w:rPr>
          <w:i/>
        </w:rPr>
        <w:t xml:space="preserve">Crit Rev Food Sci Nutr. </w:t>
      </w:r>
      <w:r w:rsidRPr="008C5902">
        <w:t>2020;60(19):3321-3341.</w:t>
      </w:r>
    </w:p>
    <w:p w14:paraId="04AADA40" w14:textId="77777777" w:rsidR="00B84C0A" w:rsidRPr="008C5902" w:rsidRDefault="00B84C0A" w:rsidP="008C5902">
      <w:pPr>
        <w:pStyle w:val="EndNoteBibliography"/>
        <w:ind w:left="720" w:hanging="720"/>
      </w:pPr>
      <w:r w:rsidRPr="008C5902">
        <w:t>87.</w:t>
      </w:r>
      <w:r w:rsidRPr="008C5902">
        <w:tab/>
        <w:t xml:space="preserve">Tobore TO. Towards a comprehensive etiopathogenetic and pathophysiological theory of multiple sclerosis. </w:t>
      </w:r>
      <w:r w:rsidRPr="008C5902">
        <w:rPr>
          <w:i/>
        </w:rPr>
        <w:t xml:space="preserve">Int J Neurosci. </w:t>
      </w:r>
      <w:r w:rsidRPr="008C5902">
        <w:t>2020;130(3):279-300.</w:t>
      </w:r>
    </w:p>
    <w:p w14:paraId="298377A2" w14:textId="77777777" w:rsidR="00B84C0A" w:rsidRPr="008C5902" w:rsidRDefault="00B84C0A" w:rsidP="008C5902">
      <w:pPr>
        <w:pStyle w:val="EndNoteBibliography"/>
        <w:ind w:left="720" w:hanging="720"/>
      </w:pPr>
      <w:r w:rsidRPr="008C5902">
        <w:t>88.</w:t>
      </w:r>
      <w:r w:rsidRPr="008C5902">
        <w:tab/>
        <w:t xml:space="preserve">Ullah H, Liu G, Yousaf B, et al. Developmental selenium exposure and health risk in daily foodstuffs: A systematic review and meta-analysis. </w:t>
      </w:r>
      <w:r w:rsidRPr="008C5902">
        <w:rPr>
          <w:i/>
        </w:rPr>
        <w:t xml:space="preserve">Ecotoxicol Environ Saf. </w:t>
      </w:r>
      <w:r w:rsidRPr="008C5902">
        <w:t>2018;149:291-306.</w:t>
      </w:r>
    </w:p>
    <w:p w14:paraId="3391460A" w14:textId="77777777" w:rsidR="00B84C0A" w:rsidRPr="008C5902" w:rsidRDefault="00B84C0A" w:rsidP="008C5902">
      <w:pPr>
        <w:pStyle w:val="EndNoteBibliography"/>
        <w:ind w:left="720" w:hanging="720"/>
      </w:pPr>
      <w:r w:rsidRPr="008C5902">
        <w:t>89.</w:t>
      </w:r>
      <w:r w:rsidRPr="008C5902">
        <w:tab/>
        <w:t xml:space="preserve">van de Lagemaat EE, de Groot L, van den Heuvel E. Vitamin B(12) in Relation to Oxidative Stress: A Systematic Review. </w:t>
      </w:r>
      <w:r w:rsidRPr="008C5902">
        <w:rPr>
          <w:i/>
        </w:rPr>
        <w:t xml:space="preserve">Nutrients. </w:t>
      </w:r>
      <w:r w:rsidRPr="008C5902">
        <w:t>2019;11(2).</w:t>
      </w:r>
    </w:p>
    <w:p w14:paraId="6738AC59" w14:textId="77777777" w:rsidR="00B84C0A" w:rsidRPr="008C5902" w:rsidRDefault="00B84C0A" w:rsidP="008C5902">
      <w:pPr>
        <w:pStyle w:val="EndNoteBibliography"/>
        <w:ind w:left="720" w:hanging="720"/>
      </w:pPr>
      <w:r w:rsidRPr="008C5902">
        <w:t>90.</w:t>
      </w:r>
      <w:r w:rsidRPr="008C5902">
        <w:tab/>
        <w:t xml:space="preserve">Varela-López A, Navarro-Hortal MD, Giampieri F, Bullón P, Battino M, Quiles JL. Nutraceuticals in Periodontal Health: A Systematic Review on the Role of Vitamins in Periodontal Health Maintenance. </w:t>
      </w:r>
      <w:r w:rsidRPr="008C5902">
        <w:rPr>
          <w:i/>
        </w:rPr>
        <w:t xml:space="preserve">Molecules. </w:t>
      </w:r>
      <w:r w:rsidRPr="008C5902">
        <w:t>2018;23(5).</w:t>
      </w:r>
    </w:p>
    <w:p w14:paraId="0438AD73" w14:textId="77777777" w:rsidR="00B84C0A" w:rsidRPr="008C5902" w:rsidRDefault="00B84C0A" w:rsidP="008C5902">
      <w:pPr>
        <w:pStyle w:val="EndNoteBibliography"/>
        <w:ind w:left="720" w:hanging="720"/>
      </w:pPr>
      <w:r w:rsidRPr="008C5902">
        <w:t>91.</w:t>
      </w:r>
      <w:r w:rsidRPr="008C5902">
        <w:tab/>
        <w:t xml:space="preserve">Vaughn AR, Foolad N, Maarouf M, Tran KA, Shi VY. Micronutrients in Atopic Dermatitis: A Systematic Review. </w:t>
      </w:r>
      <w:r w:rsidRPr="008C5902">
        <w:rPr>
          <w:i/>
        </w:rPr>
        <w:t xml:space="preserve">J Altern Complement Med. </w:t>
      </w:r>
      <w:r w:rsidRPr="008C5902">
        <w:t>2019;25(6):567-577.</w:t>
      </w:r>
    </w:p>
    <w:p w14:paraId="0D62C376" w14:textId="77777777" w:rsidR="00B84C0A" w:rsidRPr="008C5902" w:rsidRDefault="00B84C0A" w:rsidP="008C5902">
      <w:pPr>
        <w:pStyle w:val="EndNoteBibliography"/>
        <w:ind w:left="720" w:hanging="720"/>
      </w:pPr>
      <w:r w:rsidRPr="008C5902">
        <w:t>92.</w:t>
      </w:r>
      <w:r w:rsidRPr="008C5902">
        <w:tab/>
        <w:t xml:space="preserve">Vedhara K, Ayling K, Sunger K, et al. Psychological interventions as vaccine adjuvants: A systematic review. </w:t>
      </w:r>
      <w:r w:rsidRPr="008C5902">
        <w:rPr>
          <w:i/>
        </w:rPr>
        <w:t xml:space="preserve">Vaccine. </w:t>
      </w:r>
      <w:r w:rsidRPr="008C5902">
        <w:t>2019;37(25):3255-3266.</w:t>
      </w:r>
    </w:p>
    <w:p w14:paraId="20F13F90" w14:textId="77777777" w:rsidR="00B84C0A" w:rsidRPr="008C5902" w:rsidRDefault="00B84C0A" w:rsidP="008C5902">
      <w:pPr>
        <w:pStyle w:val="EndNoteBibliography"/>
        <w:ind w:left="720" w:hanging="720"/>
      </w:pPr>
      <w:r w:rsidRPr="008C5902">
        <w:t>93.</w:t>
      </w:r>
      <w:r w:rsidRPr="008C5902">
        <w:tab/>
        <w:t xml:space="preserve">Wang DY, Salem JE, Cohen JV, et al. Fatal Toxic Effects Associated With Immune Checkpoint Inhibitors: A Systematic Review and Meta-analysis. </w:t>
      </w:r>
      <w:r w:rsidRPr="008C5902">
        <w:rPr>
          <w:i/>
        </w:rPr>
        <w:t xml:space="preserve">JAMA Oncol. </w:t>
      </w:r>
      <w:r w:rsidRPr="008C5902">
        <w:t>2018;4(12):1721-1728.</w:t>
      </w:r>
    </w:p>
    <w:p w14:paraId="62204BE8" w14:textId="77777777" w:rsidR="00B84C0A" w:rsidRPr="008C5902" w:rsidRDefault="00B84C0A" w:rsidP="008C5902">
      <w:pPr>
        <w:pStyle w:val="EndNoteBibliography"/>
        <w:ind w:left="720" w:hanging="720"/>
      </w:pPr>
      <w:r w:rsidRPr="008C5902">
        <w:t>94.</w:t>
      </w:r>
      <w:r w:rsidRPr="008C5902">
        <w:tab/>
        <w:t xml:space="preserve">Wang P, Kong W, Shan Y. The efficacy and safety of Chinese herbal compound or combined with western medicine for pediatric adenoidal hypertrophy: A protocol for systematic review and meta-analysis. </w:t>
      </w:r>
      <w:r w:rsidRPr="008C5902">
        <w:rPr>
          <w:i/>
        </w:rPr>
        <w:t xml:space="preserve">Medicine (Baltimore). </w:t>
      </w:r>
      <w:r w:rsidRPr="008C5902">
        <w:t>2020;99(36):e22023.</w:t>
      </w:r>
    </w:p>
    <w:p w14:paraId="0C0CDFE5" w14:textId="77777777" w:rsidR="00B84C0A" w:rsidRPr="008C5902" w:rsidRDefault="00B84C0A" w:rsidP="008C5902">
      <w:pPr>
        <w:pStyle w:val="EndNoteBibliography"/>
        <w:ind w:left="720" w:hanging="720"/>
      </w:pPr>
      <w:r w:rsidRPr="008C5902">
        <w:t>95.</w:t>
      </w:r>
      <w:r w:rsidRPr="008C5902">
        <w:tab/>
        <w:t xml:space="preserve">Wong Chung J, van Benthem PPG, Blom HM. Tonsillotomy versus tonsillectomy in adults suffering from tonsil-related afflictions: a systematic review. </w:t>
      </w:r>
      <w:r w:rsidRPr="008C5902">
        <w:rPr>
          <w:i/>
        </w:rPr>
        <w:t xml:space="preserve">Acta Otolaryngol. </w:t>
      </w:r>
      <w:r w:rsidRPr="008C5902">
        <w:t>2018;138(5):492-501.</w:t>
      </w:r>
    </w:p>
    <w:p w14:paraId="64F61B26" w14:textId="77777777" w:rsidR="00B84C0A" w:rsidRPr="008C5902" w:rsidRDefault="00B84C0A" w:rsidP="008C5902">
      <w:pPr>
        <w:pStyle w:val="EndNoteBibliography"/>
        <w:ind w:left="720" w:hanging="720"/>
      </w:pPr>
      <w:r w:rsidRPr="008C5902">
        <w:t>96.</w:t>
      </w:r>
      <w:r w:rsidRPr="008C5902">
        <w:tab/>
        <w:t xml:space="preserve">Xin F, Mzee SAS, Botwe G, et al. Short-term evaluation of immune levels and nutritional values of EN versus PN in gastric cancer: a systematic review and a meta-analysis. </w:t>
      </w:r>
      <w:r w:rsidRPr="008C5902">
        <w:rPr>
          <w:i/>
        </w:rPr>
        <w:t xml:space="preserve">World J Surg Oncol. </w:t>
      </w:r>
      <w:r w:rsidRPr="008C5902">
        <w:t>2019;17(1):114.</w:t>
      </w:r>
    </w:p>
    <w:p w14:paraId="507C5B2B" w14:textId="77777777" w:rsidR="00B84C0A" w:rsidRPr="008C5902" w:rsidRDefault="00B84C0A" w:rsidP="008C5902">
      <w:pPr>
        <w:pStyle w:val="EndNoteBibliography"/>
        <w:ind w:left="720" w:hanging="720"/>
      </w:pPr>
      <w:r w:rsidRPr="008C5902">
        <w:t>97.</w:t>
      </w:r>
      <w:r w:rsidRPr="008C5902">
        <w:tab/>
        <w:t xml:space="preserve">Xu Q, Cao S, Rajapakse S, Matsubara JA. Understanding AMD by analogy: systematic review of lipid-related common pathogenic mechanisms in AMD, AD, AS and GN. </w:t>
      </w:r>
      <w:r w:rsidRPr="008C5902">
        <w:rPr>
          <w:i/>
        </w:rPr>
        <w:t xml:space="preserve">Lipids Health Dis. </w:t>
      </w:r>
      <w:r w:rsidRPr="008C5902">
        <w:t>2018;17(1):3.</w:t>
      </w:r>
    </w:p>
    <w:p w14:paraId="4DC25CB5" w14:textId="77777777" w:rsidR="00B84C0A" w:rsidRPr="008C5902" w:rsidRDefault="00B84C0A" w:rsidP="008C5902">
      <w:pPr>
        <w:pStyle w:val="EndNoteBibliography"/>
        <w:ind w:left="720" w:hanging="720"/>
      </w:pPr>
      <w:r w:rsidRPr="008C5902">
        <w:t>98.</w:t>
      </w:r>
      <w:r w:rsidRPr="008C5902">
        <w:tab/>
        <w:t xml:space="preserve">Yang FA, Chen YC, Tiong C. Immunonutrition in Patients with Pancreatic Cancer Undergoing Surgical Intervention: A Systematic Review and Meta-Analysis of Randomized Controlled Trials. </w:t>
      </w:r>
      <w:r w:rsidRPr="008C5902">
        <w:rPr>
          <w:i/>
        </w:rPr>
        <w:t xml:space="preserve">Nutrients. </w:t>
      </w:r>
      <w:r w:rsidRPr="008C5902">
        <w:t>2020;12(9).</w:t>
      </w:r>
    </w:p>
    <w:p w14:paraId="346B6EA9" w14:textId="77777777" w:rsidR="00B84C0A" w:rsidRPr="008C5902" w:rsidRDefault="00B84C0A" w:rsidP="008C5902">
      <w:pPr>
        <w:pStyle w:val="EndNoteBibliography"/>
        <w:ind w:left="720" w:hanging="720"/>
      </w:pPr>
      <w:r w:rsidRPr="008C5902">
        <w:t>99.</w:t>
      </w:r>
      <w:r w:rsidRPr="008C5902">
        <w:tab/>
        <w:t xml:space="preserve">Yang GS, Kumar S, Dorsey SG, Starkweather AR, Kelly DL, Lyon DE. Systematic review of genetic polymorphisms associated with psychoneurological symptoms in breast cancer survivors. </w:t>
      </w:r>
      <w:r w:rsidRPr="008C5902">
        <w:rPr>
          <w:i/>
        </w:rPr>
        <w:t xml:space="preserve">Support Care Cancer. </w:t>
      </w:r>
      <w:r w:rsidRPr="008C5902">
        <w:t>2019;27(2):351-371.</w:t>
      </w:r>
    </w:p>
    <w:p w14:paraId="18811A3F" w14:textId="77777777" w:rsidR="00B84C0A" w:rsidRPr="008C5902" w:rsidRDefault="00B84C0A" w:rsidP="008C5902">
      <w:pPr>
        <w:pStyle w:val="EndNoteBibliography"/>
        <w:ind w:left="720" w:hanging="720"/>
      </w:pPr>
      <w:r w:rsidRPr="008C5902">
        <w:t>100.</w:t>
      </w:r>
      <w:r w:rsidRPr="008C5902">
        <w:tab/>
        <w:t xml:space="preserve">Yang HL, Zhou WJ, Gu CJ, et al. Pleiotropic roles of melatonin in endometriosis, recurrent spontaneous abortion, and polycystic ovary syndrome. </w:t>
      </w:r>
      <w:r w:rsidRPr="008C5902">
        <w:rPr>
          <w:i/>
        </w:rPr>
        <w:t xml:space="preserve">Am J Reprod Immunol. </w:t>
      </w:r>
      <w:r w:rsidRPr="008C5902">
        <w:t>2018;80(1):e12839.</w:t>
      </w:r>
    </w:p>
    <w:p w14:paraId="2BD895FD" w14:textId="77777777" w:rsidR="00B84C0A" w:rsidRPr="008C5902" w:rsidRDefault="00B84C0A" w:rsidP="008C5902">
      <w:pPr>
        <w:pStyle w:val="EndNoteBibliography"/>
        <w:ind w:left="720" w:hanging="720"/>
      </w:pPr>
      <w:r w:rsidRPr="008C5902">
        <w:t>101.</w:t>
      </w:r>
      <w:r w:rsidRPr="008C5902">
        <w:tab/>
        <w:t xml:space="preserve">Yrondi A, Sporer M, Péran P, Schmitt L, Arbus C, Sauvaget A. Electroconvulsive therapy, depression, the immune system and inflammation: A systematic review. </w:t>
      </w:r>
      <w:r w:rsidRPr="008C5902">
        <w:rPr>
          <w:i/>
        </w:rPr>
        <w:t xml:space="preserve">Brain stimulation. </w:t>
      </w:r>
      <w:r w:rsidRPr="008C5902">
        <w:t>2018;11(1):29-51.</w:t>
      </w:r>
    </w:p>
    <w:p w14:paraId="2EFEE01B" w14:textId="77777777" w:rsidR="00B84C0A" w:rsidRPr="008C5902" w:rsidRDefault="00B84C0A" w:rsidP="008C5902">
      <w:pPr>
        <w:pStyle w:val="EndNoteBibliography"/>
        <w:ind w:left="720" w:hanging="720"/>
      </w:pPr>
      <w:r w:rsidRPr="008C5902">
        <w:t>102.</w:t>
      </w:r>
      <w:r w:rsidRPr="008C5902">
        <w:tab/>
        <w:t xml:space="preserve">Zebrowska A, Trybulski R, Roczniok R, Marcol W. Effect of Physical Methods of Lymphatic Drainage on Postexercise Recovery of Mixed Martial Arts Athletes. </w:t>
      </w:r>
      <w:r w:rsidRPr="008C5902">
        <w:rPr>
          <w:i/>
        </w:rPr>
        <w:t xml:space="preserve">Clin J Sport Med. </w:t>
      </w:r>
      <w:r w:rsidRPr="008C5902">
        <w:t>2019;29(1):49-56.</w:t>
      </w:r>
    </w:p>
    <w:p w14:paraId="02E83372" w14:textId="77777777" w:rsidR="00B84C0A" w:rsidRPr="008C5902" w:rsidRDefault="00B84C0A" w:rsidP="008C5902">
      <w:pPr>
        <w:pStyle w:val="EndNoteBibliography"/>
        <w:ind w:left="720" w:hanging="720"/>
      </w:pPr>
      <w:r w:rsidRPr="008C5902">
        <w:t>103.</w:t>
      </w:r>
      <w:r w:rsidRPr="008C5902">
        <w:tab/>
        <w:t xml:space="preserve">Zhan T, Ali A, Choi JG, et al. Model to Determine the Optimal Dietary Elimination Strategy for Treatment of Eosinophilic Esophagitis. </w:t>
      </w:r>
      <w:r w:rsidRPr="008C5902">
        <w:rPr>
          <w:i/>
        </w:rPr>
        <w:t xml:space="preserve">Clin Gastroenterol Hepatol. </w:t>
      </w:r>
      <w:r w:rsidRPr="008C5902">
        <w:t>2018;16(11):1730-1737.e1732.</w:t>
      </w:r>
    </w:p>
    <w:p w14:paraId="210A4268" w14:textId="77777777" w:rsidR="00B84C0A" w:rsidRPr="008C5902" w:rsidRDefault="00B84C0A" w:rsidP="008C5902">
      <w:pPr>
        <w:pStyle w:val="EndNoteBibliography"/>
        <w:ind w:left="720" w:hanging="720"/>
      </w:pPr>
      <w:r w:rsidRPr="008C5902">
        <w:t>104.</w:t>
      </w:r>
      <w:r w:rsidRPr="008C5902">
        <w:tab/>
        <w:t xml:space="preserve">Zhu W, Liu S. The role of human cytomegalovirus in atherosclerosis: a systematic review. </w:t>
      </w:r>
      <w:r w:rsidRPr="008C5902">
        <w:rPr>
          <w:i/>
        </w:rPr>
        <w:t xml:space="preserve">Acta Biochim Biophys Sin (Shanghai). </w:t>
      </w:r>
      <w:r w:rsidRPr="008C5902">
        <w:t>2020;52(4):339-353.</w:t>
      </w:r>
    </w:p>
    <w:p w14:paraId="21A246C8" w14:textId="77777777" w:rsidR="00B84C0A" w:rsidRPr="008C5902" w:rsidRDefault="00B84C0A">
      <w:r>
        <w:fldChar w:fldCharType="end"/>
      </w:r>
    </w:p>
    <w:p w14:paraId="1633C075" w14:textId="77777777" w:rsidR="002536B2" w:rsidRPr="00184469" w:rsidRDefault="002536B2">
      <w:pPr>
        <w:rPr>
          <w:rFonts w:ascii="Arial" w:hAnsi="Arial" w:cs="Arial"/>
        </w:rPr>
      </w:pPr>
    </w:p>
    <w:sectPr w:rsidR="002536B2" w:rsidRPr="00184469" w:rsidSect="00493725">
      <w:footerReference w:type="default" r:id="rId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1718" w14:textId="77777777" w:rsidR="00B7632F" w:rsidRDefault="00B7632F" w:rsidP="006801B3">
      <w:r>
        <w:separator/>
      </w:r>
    </w:p>
  </w:endnote>
  <w:endnote w:type="continuationSeparator" w:id="0">
    <w:p w14:paraId="2D2883EF" w14:textId="77777777" w:rsidR="00B7632F" w:rsidRDefault="00B7632F" w:rsidP="0068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960458"/>
      <w:docPartObj>
        <w:docPartGallery w:val="Page Numbers (Bottom of Page)"/>
        <w:docPartUnique/>
      </w:docPartObj>
    </w:sdtPr>
    <w:sdtEndPr>
      <w:rPr>
        <w:noProof/>
      </w:rPr>
    </w:sdtEndPr>
    <w:sdtContent>
      <w:p w14:paraId="08C56F6A" w14:textId="2BA98633" w:rsidR="006801B3" w:rsidRDefault="00680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BCD1E5" w14:textId="77777777" w:rsidR="006801B3" w:rsidRDefault="0068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A7DE" w14:textId="77777777" w:rsidR="00B7632F" w:rsidRDefault="00B7632F" w:rsidP="006801B3">
      <w:r>
        <w:separator/>
      </w:r>
    </w:p>
  </w:footnote>
  <w:footnote w:type="continuationSeparator" w:id="0">
    <w:p w14:paraId="0AEF0F80" w14:textId="77777777" w:rsidR="00B7632F" w:rsidRDefault="00B7632F" w:rsidP="00680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B37"/>
    <w:multiLevelType w:val="hybridMultilevel"/>
    <w:tmpl w:val="14B6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52B9D"/>
    <w:multiLevelType w:val="hybridMultilevel"/>
    <w:tmpl w:val="B4325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9013D"/>
    <w:multiLevelType w:val="hybridMultilevel"/>
    <w:tmpl w:val="04EC2F1A"/>
    <w:lvl w:ilvl="0" w:tplc="16A2A060">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0"/>
    <w:rsid w:val="00034D3A"/>
    <w:rsid w:val="00062D02"/>
    <w:rsid w:val="00085653"/>
    <w:rsid w:val="00091814"/>
    <w:rsid w:val="000A555C"/>
    <w:rsid w:val="000D27C7"/>
    <w:rsid w:val="000D6533"/>
    <w:rsid w:val="001420D0"/>
    <w:rsid w:val="001427DB"/>
    <w:rsid w:val="001431B5"/>
    <w:rsid w:val="00146F30"/>
    <w:rsid w:val="00157C04"/>
    <w:rsid w:val="001649A7"/>
    <w:rsid w:val="00164ADE"/>
    <w:rsid w:val="001721C8"/>
    <w:rsid w:val="0017334B"/>
    <w:rsid w:val="00174B9A"/>
    <w:rsid w:val="00184469"/>
    <w:rsid w:val="001A516A"/>
    <w:rsid w:val="001D0CB9"/>
    <w:rsid w:val="001E3D9C"/>
    <w:rsid w:val="002075B3"/>
    <w:rsid w:val="00252599"/>
    <w:rsid w:val="002536B2"/>
    <w:rsid w:val="002662E9"/>
    <w:rsid w:val="00271E72"/>
    <w:rsid w:val="00291132"/>
    <w:rsid w:val="002A36C9"/>
    <w:rsid w:val="002C3EDD"/>
    <w:rsid w:val="002C6536"/>
    <w:rsid w:val="002D0B0A"/>
    <w:rsid w:val="002E29A6"/>
    <w:rsid w:val="002E3F72"/>
    <w:rsid w:val="002F7493"/>
    <w:rsid w:val="003244F1"/>
    <w:rsid w:val="00324E1A"/>
    <w:rsid w:val="0032614A"/>
    <w:rsid w:val="00334B24"/>
    <w:rsid w:val="003450AE"/>
    <w:rsid w:val="003557B9"/>
    <w:rsid w:val="00374479"/>
    <w:rsid w:val="00387928"/>
    <w:rsid w:val="003D5714"/>
    <w:rsid w:val="003F72F1"/>
    <w:rsid w:val="00457346"/>
    <w:rsid w:val="00465652"/>
    <w:rsid w:val="00480C59"/>
    <w:rsid w:val="00481F6B"/>
    <w:rsid w:val="00493725"/>
    <w:rsid w:val="004A145D"/>
    <w:rsid w:val="004B4A9E"/>
    <w:rsid w:val="004B7CAC"/>
    <w:rsid w:val="004C01B8"/>
    <w:rsid w:val="004D1177"/>
    <w:rsid w:val="004D6DD3"/>
    <w:rsid w:val="00505757"/>
    <w:rsid w:val="005276B4"/>
    <w:rsid w:val="00537219"/>
    <w:rsid w:val="00546611"/>
    <w:rsid w:val="00560234"/>
    <w:rsid w:val="0058355B"/>
    <w:rsid w:val="005924E1"/>
    <w:rsid w:val="00593FB0"/>
    <w:rsid w:val="00595C19"/>
    <w:rsid w:val="005A356B"/>
    <w:rsid w:val="005C1917"/>
    <w:rsid w:val="005C7D73"/>
    <w:rsid w:val="005D097D"/>
    <w:rsid w:val="005D0EAB"/>
    <w:rsid w:val="005F3563"/>
    <w:rsid w:val="00621B82"/>
    <w:rsid w:val="00625390"/>
    <w:rsid w:val="00627DE8"/>
    <w:rsid w:val="00627E5F"/>
    <w:rsid w:val="00635CDD"/>
    <w:rsid w:val="00651958"/>
    <w:rsid w:val="006552DF"/>
    <w:rsid w:val="006773AB"/>
    <w:rsid w:val="006801B3"/>
    <w:rsid w:val="0068047A"/>
    <w:rsid w:val="006A3324"/>
    <w:rsid w:val="006B1498"/>
    <w:rsid w:val="006B7096"/>
    <w:rsid w:val="006C6834"/>
    <w:rsid w:val="006E3868"/>
    <w:rsid w:val="006E5E50"/>
    <w:rsid w:val="006F107E"/>
    <w:rsid w:val="00703A4A"/>
    <w:rsid w:val="00771B4F"/>
    <w:rsid w:val="00786427"/>
    <w:rsid w:val="007A15FC"/>
    <w:rsid w:val="007A6821"/>
    <w:rsid w:val="007B292A"/>
    <w:rsid w:val="007B7367"/>
    <w:rsid w:val="007D5215"/>
    <w:rsid w:val="007F3B31"/>
    <w:rsid w:val="00804B04"/>
    <w:rsid w:val="00824CB4"/>
    <w:rsid w:val="00860448"/>
    <w:rsid w:val="0086234D"/>
    <w:rsid w:val="00875948"/>
    <w:rsid w:val="00891DC1"/>
    <w:rsid w:val="00893F6F"/>
    <w:rsid w:val="00897430"/>
    <w:rsid w:val="008977E5"/>
    <w:rsid w:val="00897CBC"/>
    <w:rsid w:val="008A1B1B"/>
    <w:rsid w:val="008C0EDF"/>
    <w:rsid w:val="008C7916"/>
    <w:rsid w:val="008E4991"/>
    <w:rsid w:val="00902985"/>
    <w:rsid w:val="00913E4A"/>
    <w:rsid w:val="00921AAE"/>
    <w:rsid w:val="00925FB6"/>
    <w:rsid w:val="00942130"/>
    <w:rsid w:val="009449D3"/>
    <w:rsid w:val="00947FC0"/>
    <w:rsid w:val="009610F3"/>
    <w:rsid w:val="00963DB9"/>
    <w:rsid w:val="00974B0E"/>
    <w:rsid w:val="00975355"/>
    <w:rsid w:val="00982EDC"/>
    <w:rsid w:val="00994054"/>
    <w:rsid w:val="009A39B8"/>
    <w:rsid w:val="009B0666"/>
    <w:rsid w:val="009B0911"/>
    <w:rsid w:val="009C53ED"/>
    <w:rsid w:val="009D3D56"/>
    <w:rsid w:val="009E1A56"/>
    <w:rsid w:val="00A14220"/>
    <w:rsid w:val="00A1707B"/>
    <w:rsid w:val="00A20144"/>
    <w:rsid w:val="00A25010"/>
    <w:rsid w:val="00A266D9"/>
    <w:rsid w:val="00A300E0"/>
    <w:rsid w:val="00A3781C"/>
    <w:rsid w:val="00A61EFA"/>
    <w:rsid w:val="00A733E4"/>
    <w:rsid w:val="00AC471E"/>
    <w:rsid w:val="00AF775C"/>
    <w:rsid w:val="00B1126D"/>
    <w:rsid w:val="00B20279"/>
    <w:rsid w:val="00B27D12"/>
    <w:rsid w:val="00B42B85"/>
    <w:rsid w:val="00B55B9E"/>
    <w:rsid w:val="00B7632F"/>
    <w:rsid w:val="00B84C0A"/>
    <w:rsid w:val="00B9141C"/>
    <w:rsid w:val="00BA325E"/>
    <w:rsid w:val="00BB3ACF"/>
    <w:rsid w:val="00BE4A5A"/>
    <w:rsid w:val="00BF54FD"/>
    <w:rsid w:val="00C00E77"/>
    <w:rsid w:val="00C04689"/>
    <w:rsid w:val="00C2479D"/>
    <w:rsid w:val="00C50CA3"/>
    <w:rsid w:val="00C90AC0"/>
    <w:rsid w:val="00CA58F2"/>
    <w:rsid w:val="00CF7184"/>
    <w:rsid w:val="00D00876"/>
    <w:rsid w:val="00D30A91"/>
    <w:rsid w:val="00D36D30"/>
    <w:rsid w:val="00D57347"/>
    <w:rsid w:val="00D65E05"/>
    <w:rsid w:val="00D73AFE"/>
    <w:rsid w:val="00D74924"/>
    <w:rsid w:val="00D758A4"/>
    <w:rsid w:val="00D75E69"/>
    <w:rsid w:val="00D75F56"/>
    <w:rsid w:val="00DA42D1"/>
    <w:rsid w:val="00DF2FF3"/>
    <w:rsid w:val="00E00DEE"/>
    <w:rsid w:val="00E039E0"/>
    <w:rsid w:val="00E378AE"/>
    <w:rsid w:val="00E7468B"/>
    <w:rsid w:val="00E857E1"/>
    <w:rsid w:val="00E96DB4"/>
    <w:rsid w:val="00EB0B8E"/>
    <w:rsid w:val="00EB3AB7"/>
    <w:rsid w:val="00ED4923"/>
    <w:rsid w:val="00EE2BAA"/>
    <w:rsid w:val="00EE4712"/>
    <w:rsid w:val="00EF639A"/>
    <w:rsid w:val="00F168D1"/>
    <w:rsid w:val="00F31148"/>
    <w:rsid w:val="00F4491D"/>
    <w:rsid w:val="00F54E8E"/>
    <w:rsid w:val="00F67AB3"/>
    <w:rsid w:val="00F719D1"/>
    <w:rsid w:val="00F82E1E"/>
    <w:rsid w:val="00F97A3B"/>
    <w:rsid w:val="00FB735A"/>
    <w:rsid w:val="00FE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4665"/>
  <w15:docId w15:val="{A2C26995-20F5-49C5-B7A1-D626BD0A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F5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928"/>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801B3"/>
    <w:pPr>
      <w:tabs>
        <w:tab w:val="center" w:pos="4680"/>
        <w:tab w:val="right" w:pos="9360"/>
      </w:tabs>
    </w:pPr>
  </w:style>
  <w:style w:type="character" w:customStyle="1" w:styleId="HeaderChar">
    <w:name w:val="Header Char"/>
    <w:basedOn w:val="DefaultParagraphFont"/>
    <w:link w:val="Header"/>
    <w:uiPriority w:val="99"/>
    <w:rsid w:val="006801B3"/>
  </w:style>
  <w:style w:type="paragraph" w:styleId="Footer">
    <w:name w:val="footer"/>
    <w:basedOn w:val="Normal"/>
    <w:link w:val="FooterChar"/>
    <w:uiPriority w:val="99"/>
    <w:unhideWhenUsed/>
    <w:rsid w:val="006801B3"/>
    <w:pPr>
      <w:tabs>
        <w:tab w:val="center" w:pos="4680"/>
        <w:tab w:val="right" w:pos="9360"/>
      </w:tabs>
    </w:pPr>
  </w:style>
  <w:style w:type="character" w:customStyle="1" w:styleId="FooterChar">
    <w:name w:val="Footer Char"/>
    <w:basedOn w:val="DefaultParagraphFont"/>
    <w:link w:val="Footer"/>
    <w:uiPriority w:val="99"/>
    <w:rsid w:val="006801B3"/>
  </w:style>
  <w:style w:type="character" w:styleId="Hyperlink">
    <w:name w:val="Hyperlink"/>
    <w:basedOn w:val="DefaultParagraphFont"/>
    <w:uiPriority w:val="99"/>
    <w:unhideWhenUsed/>
    <w:rsid w:val="00C00E77"/>
    <w:rPr>
      <w:color w:val="0563C1" w:themeColor="hyperlink"/>
      <w:u w:val="single"/>
    </w:rPr>
  </w:style>
  <w:style w:type="character" w:customStyle="1" w:styleId="docsum-authors">
    <w:name w:val="docsum-authors"/>
    <w:basedOn w:val="DefaultParagraphFont"/>
    <w:rsid w:val="00C00E77"/>
  </w:style>
  <w:style w:type="character" w:customStyle="1" w:styleId="docsum-journal-citation">
    <w:name w:val="docsum-journal-citation"/>
    <w:basedOn w:val="DefaultParagraphFont"/>
    <w:rsid w:val="00C00E77"/>
  </w:style>
  <w:style w:type="character" w:customStyle="1" w:styleId="citation-part">
    <w:name w:val="citation-part"/>
    <w:basedOn w:val="DefaultParagraphFont"/>
    <w:rsid w:val="00C00E77"/>
  </w:style>
  <w:style w:type="character" w:customStyle="1" w:styleId="docsum-pmid">
    <w:name w:val="docsum-pmid"/>
    <w:basedOn w:val="DefaultParagraphFont"/>
    <w:rsid w:val="00C00E77"/>
  </w:style>
  <w:style w:type="paragraph" w:customStyle="1" w:styleId="EndNoteBibliography">
    <w:name w:val="EndNote Bibliography"/>
    <w:basedOn w:val="Normal"/>
    <w:link w:val="EndNoteBibliographyChar"/>
    <w:rsid w:val="006C6834"/>
    <w:rPr>
      <w:rFonts w:ascii="Arial" w:eastAsiaTheme="minorHAnsi" w:hAnsi="Arial" w:cs="Arial"/>
      <w:noProof/>
    </w:rPr>
  </w:style>
  <w:style w:type="character" w:customStyle="1" w:styleId="EndNoteBibliographyChar">
    <w:name w:val="EndNote Bibliography Char"/>
    <w:basedOn w:val="DefaultParagraphFont"/>
    <w:link w:val="EndNoteBibliography"/>
    <w:rsid w:val="006C6834"/>
    <w:rPr>
      <w:rFonts w:ascii="Arial" w:eastAsiaTheme="minorHAnsi" w:hAnsi="Arial" w:cs="Arial"/>
      <w:noProof/>
    </w:rPr>
  </w:style>
  <w:style w:type="table" w:customStyle="1" w:styleId="TableGrid1">
    <w:name w:val="Table Grid1"/>
    <w:basedOn w:val="TableNormal"/>
    <w:next w:val="TableGrid"/>
    <w:uiPriority w:val="39"/>
    <w:rsid w:val="006C6834"/>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5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6636">
      <w:bodyDiv w:val="1"/>
      <w:marLeft w:val="0"/>
      <w:marRight w:val="0"/>
      <w:marTop w:val="0"/>
      <w:marBottom w:val="0"/>
      <w:divBdr>
        <w:top w:val="none" w:sz="0" w:space="0" w:color="auto"/>
        <w:left w:val="none" w:sz="0" w:space="0" w:color="auto"/>
        <w:bottom w:val="none" w:sz="0" w:space="0" w:color="auto"/>
        <w:right w:val="none" w:sz="0" w:space="0" w:color="auto"/>
      </w:divBdr>
      <w:divsChild>
        <w:div w:id="1207335522">
          <w:marLeft w:val="0"/>
          <w:marRight w:val="0"/>
          <w:marTop w:val="0"/>
          <w:marBottom w:val="0"/>
          <w:divBdr>
            <w:top w:val="none" w:sz="0" w:space="0" w:color="auto"/>
            <w:left w:val="none" w:sz="0" w:space="0" w:color="auto"/>
            <w:bottom w:val="none" w:sz="0" w:space="0" w:color="auto"/>
            <w:right w:val="none" w:sz="0" w:space="0" w:color="auto"/>
          </w:divBdr>
        </w:div>
        <w:div w:id="1839882497">
          <w:marLeft w:val="0"/>
          <w:marRight w:val="0"/>
          <w:marTop w:val="0"/>
          <w:marBottom w:val="0"/>
          <w:divBdr>
            <w:top w:val="none" w:sz="0" w:space="0" w:color="auto"/>
            <w:left w:val="none" w:sz="0" w:space="0" w:color="auto"/>
            <w:bottom w:val="none" w:sz="0" w:space="0" w:color="auto"/>
            <w:right w:val="none" w:sz="0" w:space="0" w:color="auto"/>
          </w:divBdr>
        </w:div>
      </w:divsChild>
    </w:div>
    <w:div w:id="2010134423">
      <w:bodyDiv w:val="1"/>
      <w:marLeft w:val="0"/>
      <w:marRight w:val="0"/>
      <w:marTop w:val="0"/>
      <w:marBottom w:val="0"/>
      <w:divBdr>
        <w:top w:val="none" w:sz="0" w:space="0" w:color="auto"/>
        <w:left w:val="none" w:sz="0" w:space="0" w:color="auto"/>
        <w:bottom w:val="none" w:sz="0" w:space="0" w:color="auto"/>
        <w:right w:val="none" w:sz="0" w:space="0" w:color="auto"/>
      </w:divBdr>
      <w:divsChild>
        <w:div w:id="1968925003">
          <w:marLeft w:val="0"/>
          <w:marRight w:val="0"/>
          <w:marTop w:val="0"/>
          <w:marBottom w:val="0"/>
          <w:divBdr>
            <w:top w:val="none" w:sz="0" w:space="0" w:color="auto"/>
            <w:left w:val="none" w:sz="0" w:space="0" w:color="auto"/>
            <w:bottom w:val="none" w:sz="0" w:space="0" w:color="auto"/>
            <w:right w:val="none" w:sz="0" w:space="0" w:color="auto"/>
          </w:divBdr>
        </w:div>
        <w:div w:id="313220421">
          <w:marLeft w:val="0"/>
          <w:marRight w:val="0"/>
          <w:marTop w:val="0"/>
          <w:marBottom w:val="0"/>
          <w:divBdr>
            <w:top w:val="none" w:sz="0" w:space="0" w:color="auto"/>
            <w:left w:val="none" w:sz="0" w:space="0" w:color="auto"/>
            <w:bottom w:val="none" w:sz="0" w:space="0" w:color="auto"/>
            <w:right w:val="none" w:sz="0" w:space="0" w:color="auto"/>
          </w:divBdr>
        </w:div>
        <w:div w:id="666178920">
          <w:marLeft w:val="0"/>
          <w:marRight w:val="0"/>
          <w:marTop w:val="0"/>
          <w:marBottom w:val="0"/>
          <w:divBdr>
            <w:top w:val="none" w:sz="0" w:space="0" w:color="auto"/>
            <w:left w:val="none" w:sz="0" w:space="0" w:color="auto"/>
            <w:bottom w:val="none" w:sz="0" w:space="0" w:color="auto"/>
            <w:right w:val="none" w:sz="0" w:space="0" w:color="auto"/>
          </w:divBdr>
        </w:div>
        <w:div w:id="1356616945">
          <w:marLeft w:val="0"/>
          <w:marRight w:val="0"/>
          <w:marTop w:val="0"/>
          <w:marBottom w:val="0"/>
          <w:divBdr>
            <w:top w:val="none" w:sz="0" w:space="0" w:color="auto"/>
            <w:left w:val="none" w:sz="0" w:space="0" w:color="auto"/>
            <w:bottom w:val="none" w:sz="0" w:space="0" w:color="auto"/>
            <w:right w:val="none" w:sz="0" w:space="0" w:color="auto"/>
          </w:divBdr>
        </w:div>
        <w:div w:id="1581022521">
          <w:marLeft w:val="0"/>
          <w:marRight w:val="0"/>
          <w:marTop w:val="0"/>
          <w:marBottom w:val="0"/>
          <w:divBdr>
            <w:top w:val="none" w:sz="0" w:space="0" w:color="auto"/>
            <w:left w:val="none" w:sz="0" w:space="0" w:color="auto"/>
            <w:bottom w:val="none" w:sz="0" w:space="0" w:color="auto"/>
            <w:right w:val="none" w:sz="0" w:space="0" w:color="auto"/>
          </w:divBdr>
          <w:divsChild>
            <w:div w:id="944313221">
              <w:marLeft w:val="0"/>
              <w:marRight w:val="0"/>
              <w:marTop w:val="0"/>
              <w:marBottom w:val="0"/>
              <w:divBdr>
                <w:top w:val="none" w:sz="0" w:space="0" w:color="auto"/>
                <w:left w:val="none" w:sz="0" w:space="0" w:color="auto"/>
                <w:bottom w:val="none" w:sz="0" w:space="0" w:color="auto"/>
                <w:right w:val="none" w:sz="0" w:space="0" w:color="auto"/>
              </w:divBdr>
            </w:div>
            <w:div w:id="12259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1dfJmysdlON1NrxVbbFMyBdkQ==">AMUW2mWcFx3SmdcIFni2frPRUVD1bmpb1xpCXxz9G9Hg8FiQOQFk6UZqmfMBpZ/KwR+mAcl3qUEHO9zDxQMDfxYAJwYPTSjrYgic83wKpz/9Xw0QmCTfk1M=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A3AA37-74BE-44E2-A17C-F1C81006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5635</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Logan University</Company>
  <LinksUpToDate>false</LinksUpToDate>
  <CharactersWithSpaces>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Alec Schielke1</dc:creator>
  <cp:lastModifiedBy>Frank M Painter</cp:lastModifiedBy>
  <cp:revision>2</cp:revision>
  <dcterms:created xsi:type="dcterms:W3CDTF">2021-09-13T16:12:00Z</dcterms:created>
  <dcterms:modified xsi:type="dcterms:W3CDTF">2021-09-13T16:12:00Z</dcterms:modified>
</cp:coreProperties>
</file>